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EBE15" w14:textId="34E700F5" w:rsidR="00F26BE6" w:rsidRDefault="00F26BE6" w:rsidP="00F26BE6">
      <w:pPr>
        <w:pStyle w:val="CRCoverPage"/>
        <w:tabs>
          <w:tab w:val="right" w:pos="9639"/>
        </w:tabs>
        <w:spacing w:after="0"/>
        <w:rPr>
          <w:rFonts w:cs="Arial"/>
          <w:b/>
          <w:sz w:val="24"/>
          <w:szCs w:val="24"/>
        </w:rPr>
      </w:pPr>
      <w:bookmarkStart w:id="0" w:name="_Hlk491845607"/>
      <w:r>
        <w:rPr>
          <w:rFonts w:cs="Arial"/>
          <w:b/>
          <w:sz w:val="24"/>
          <w:szCs w:val="24"/>
        </w:rPr>
        <w:t>3GPP TSG-</w:t>
      </w:r>
      <w:r w:rsidRPr="007C23AE">
        <w:rPr>
          <w:rFonts w:cs="Arial"/>
          <w:b/>
          <w:sz w:val="24"/>
          <w:szCs w:val="24"/>
        </w:rPr>
        <w:t>RAN4#9</w:t>
      </w:r>
      <w:r w:rsidR="0014443D">
        <w:rPr>
          <w:rFonts w:cs="Arial"/>
          <w:b/>
          <w:sz w:val="24"/>
          <w:szCs w:val="24"/>
        </w:rPr>
        <w:t>7</w:t>
      </w:r>
      <w:r w:rsidR="00593AEE">
        <w:rPr>
          <w:rFonts w:cs="Arial"/>
          <w:b/>
          <w:sz w:val="24"/>
          <w:szCs w:val="24"/>
        </w:rPr>
        <w:t>-e</w:t>
      </w:r>
      <w:r>
        <w:rPr>
          <w:rFonts w:cs="Arial"/>
          <w:b/>
          <w:sz w:val="24"/>
          <w:szCs w:val="24"/>
        </w:rPr>
        <w:tab/>
      </w:r>
      <w:r w:rsidR="00BF6CAC" w:rsidRPr="00BF6CAC">
        <w:rPr>
          <w:rFonts w:cs="Arial"/>
          <w:b/>
          <w:sz w:val="24"/>
          <w:szCs w:val="24"/>
        </w:rPr>
        <w:t>R4-20</w:t>
      </w:r>
      <w:r w:rsidR="00F816D4">
        <w:rPr>
          <w:rFonts w:cs="Arial"/>
          <w:b/>
          <w:sz w:val="24"/>
          <w:szCs w:val="24"/>
        </w:rPr>
        <w:t>14171</w:t>
      </w:r>
    </w:p>
    <w:p w14:paraId="06BF1402" w14:textId="6C1BB139" w:rsidR="00F26BE6" w:rsidRDefault="005F0718" w:rsidP="00F26BE6">
      <w:pPr>
        <w:pStyle w:val="CRCoverPage"/>
        <w:tabs>
          <w:tab w:val="right" w:pos="9639"/>
        </w:tabs>
        <w:spacing w:after="0"/>
        <w:rPr>
          <w:rFonts w:cs="Arial"/>
          <w:b/>
          <w:sz w:val="24"/>
          <w:szCs w:val="24"/>
        </w:rPr>
      </w:pPr>
      <w:r>
        <w:rPr>
          <w:rFonts w:cs="Arial"/>
          <w:b/>
          <w:sz w:val="24"/>
          <w:szCs w:val="24"/>
        </w:rPr>
        <w:t>02</w:t>
      </w:r>
      <w:r>
        <w:rPr>
          <w:rFonts w:cs="Arial"/>
          <w:b/>
          <w:sz w:val="24"/>
          <w:szCs w:val="24"/>
          <w:vertAlign w:val="superscript"/>
        </w:rPr>
        <w:t>nd</w:t>
      </w:r>
      <w:r w:rsidR="00F26BE6">
        <w:rPr>
          <w:rFonts w:cs="Arial"/>
          <w:b/>
          <w:sz w:val="24"/>
          <w:szCs w:val="24"/>
          <w:vertAlign w:val="superscript"/>
        </w:rPr>
        <w:t xml:space="preserve"> </w:t>
      </w:r>
      <w:r>
        <w:rPr>
          <w:rFonts w:cs="Arial"/>
          <w:b/>
          <w:sz w:val="24"/>
          <w:szCs w:val="24"/>
        </w:rPr>
        <w:t>November</w:t>
      </w:r>
      <w:r w:rsidR="00F26BE6">
        <w:rPr>
          <w:rFonts w:cs="Arial"/>
          <w:b/>
          <w:sz w:val="24"/>
          <w:szCs w:val="24"/>
        </w:rPr>
        <w:t xml:space="preserve"> </w:t>
      </w:r>
      <w:r w:rsidR="00F26BE6" w:rsidRPr="00690ADD">
        <w:rPr>
          <w:rFonts w:cs="Arial"/>
          <w:b/>
          <w:sz w:val="24"/>
          <w:szCs w:val="24"/>
        </w:rPr>
        <w:t xml:space="preserve">– </w:t>
      </w:r>
      <w:r w:rsidR="00E80CCA">
        <w:rPr>
          <w:rFonts w:cs="Arial"/>
          <w:b/>
          <w:sz w:val="24"/>
          <w:szCs w:val="24"/>
        </w:rPr>
        <w:t>13</w:t>
      </w:r>
      <w:r w:rsidR="00F26BE6" w:rsidRPr="0085598E">
        <w:rPr>
          <w:rFonts w:cs="Arial"/>
          <w:b/>
          <w:sz w:val="24"/>
          <w:szCs w:val="24"/>
          <w:vertAlign w:val="superscript"/>
        </w:rPr>
        <w:t>th</w:t>
      </w:r>
      <w:r w:rsidR="00F26BE6">
        <w:rPr>
          <w:rFonts w:cs="Arial"/>
          <w:b/>
          <w:sz w:val="24"/>
          <w:szCs w:val="24"/>
        </w:rPr>
        <w:t xml:space="preserve"> </w:t>
      </w:r>
      <w:r w:rsidR="00E80CCA">
        <w:rPr>
          <w:rFonts w:cs="Arial"/>
          <w:b/>
          <w:sz w:val="24"/>
          <w:szCs w:val="24"/>
        </w:rPr>
        <w:t>November</w:t>
      </w:r>
      <w:r w:rsidR="00F26BE6" w:rsidRPr="00690ADD">
        <w:rPr>
          <w:rFonts w:cs="Arial"/>
          <w:b/>
          <w:sz w:val="24"/>
          <w:szCs w:val="24"/>
        </w:rPr>
        <w:t xml:space="preserve"> 20</w:t>
      </w:r>
      <w:bookmarkEnd w:id="0"/>
      <w:r w:rsidR="00F26BE6">
        <w:rPr>
          <w:rFonts w:cs="Arial"/>
          <w:b/>
          <w:sz w:val="24"/>
          <w:szCs w:val="24"/>
        </w:rPr>
        <w:t>20</w:t>
      </w:r>
    </w:p>
    <w:p w14:paraId="31AA9375" w14:textId="77777777" w:rsidR="00F26BE6" w:rsidRPr="0087636F" w:rsidRDefault="00F26BE6" w:rsidP="00F26BE6">
      <w:pPr>
        <w:pStyle w:val="CRCoverPage"/>
        <w:tabs>
          <w:tab w:val="right" w:pos="9639"/>
        </w:tabs>
        <w:spacing w:after="0"/>
        <w:rPr>
          <w:rFonts w:cs="Arial"/>
          <w:b/>
          <w:sz w:val="24"/>
          <w:szCs w:val="24"/>
        </w:rPr>
      </w:pPr>
    </w:p>
    <w:p w14:paraId="2078F563" w14:textId="3EADFB62" w:rsidR="0043450E" w:rsidRPr="00B16EEF" w:rsidRDefault="0043450E" w:rsidP="0043450E">
      <w:pPr>
        <w:tabs>
          <w:tab w:val="left" w:pos="1985"/>
        </w:tabs>
        <w:jc w:val="both"/>
        <w:rPr>
          <w:b/>
          <w:sz w:val="22"/>
        </w:rPr>
      </w:pPr>
      <w:r w:rsidRPr="00B16EEF">
        <w:rPr>
          <w:b/>
          <w:sz w:val="22"/>
        </w:rPr>
        <w:t xml:space="preserve">Source: </w:t>
      </w:r>
      <w:r w:rsidR="000F0F26">
        <w:rPr>
          <w:b/>
          <w:sz w:val="22"/>
        </w:rPr>
        <w:tab/>
      </w:r>
      <w:r w:rsidR="000F0F26" w:rsidRPr="000F0F26">
        <w:rPr>
          <w:bCs/>
          <w:sz w:val="22"/>
        </w:rPr>
        <w:t>Qualcomm</w:t>
      </w:r>
    </w:p>
    <w:p w14:paraId="5B6A96A7" w14:textId="45F9411D"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F93A40">
        <w:rPr>
          <w:sz w:val="22"/>
        </w:rPr>
        <w:t xml:space="preserve">CA_n7B A-MPR </w:t>
      </w:r>
      <w:r w:rsidR="00A26A63">
        <w:rPr>
          <w:sz w:val="22"/>
        </w:rPr>
        <w:t>and REFSENS</w:t>
      </w:r>
    </w:p>
    <w:p w14:paraId="23226DA5" w14:textId="7E571E88"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16339D" w:rsidRPr="00AD2218">
        <w:rPr>
          <w:sz w:val="22"/>
        </w:rPr>
        <w:t>7.11.1.</w:t>
      </w:r>
      <w:r w:rsidR="001751A8" w:rsidRPr="00AD2218">
        <w:rPr>
          <w:sz w:val="22"/>
        </w:rPr>
        <w:t>2</w:t>
      </w:r>
    </w:p>
    <w:p w14:paraId="7AD518C5" w14:textId="41706D41" w:rsidR="0043450E" w:rsidRPr="00F26B60" w:rsidRDefault="0043450E" w:rsidP="0043450E">
      <w:pPr>
        <w:tabs>
          <w:tab w:val="left" w:pos="1985"/>
        </w:tabs>
        <w:jc w:val="both"/>
        <w:rPr>
          <w:caps/>
          <w:sz w:val="22"/>
        </w:rPr>
      </w:pPr>
      <w:r w:rsidRPr="00B16EEF">
        <w:rPr>
          <w:b/>
          <w:sz w:val="22"/>
        </w:rPr>
        <w:t>Document for:</w:t>
      </w:r>
      <w:r w:rsidRPr="00B16EEF">
        <w:rPr>
          <w:sz w:val="22"/>
        </w:rPr>
        <w:tab/>
      </w:r>
      <w:r w:rsidR="00EA0331">
        <w:rPr>
          <w:sz w:val="22"/>
        </w:rPr>
        <w:t>Discussion</w:t>
      </w:r>
    </w:p>
    <w:p w14:paraId="5C2448DB" w14:textId="77777777" w:rsidR="0043450E" w:rsidRDefault="0043450E" w:rsidP="0043450E">
      <w:pPr>
        <w:pStyle w:val="Heading1"/>
      </w:pPr>
      <w:r>
        <w:t>1</w:t>
      </w:r>
      <w:r>
        <w:tab/>
        <w:t>Introduction</w:t>
      </w:r>
    </w:p>
    <w:p w14:paraId="6D98D123" w14:textId="3BA31C3A" w:rsidR="006A6B9C" w:rsidRDefault="00D767C4" w:rsidP="008B10F5">
      <w:r>
        <w:t>This contributio</w:t>
      </w:r>
      <w:r w:rsidR="00EA0331">
        <w:t>n presents simulated A-MPR results</w:t>
      </w:r>
      <w:r w:rsidR="00931187">
        <w:t xml:space="preserve"> and REFSENS </w:t>
      </w:r>
      <w:r w:rsidR="00D10D1F">
        <w:t>analysis</w:t>
      </w:r>
      <w:r w:rsidR="00EA0331">
        <w:t xml:space="preserve"> for </w:t>
      </w:r>
      <w:r w:rsidR="00EA0331" w:rsidRPr="00EA0331">
        <w:t>CA_n7B</w:t>
      </w:r>
      <w:r w:rsidR="00EA0331">
        <w:t>.</w:t>
      </w:r>
    </w:p>
    <w:p w14:paraId="16375C65" w14:textId="207823D2" w:rsidR="00470375" w:rsidRDefault="00470375" w:rsidP="00470375">
      <w:pPr>
        <w:pStyle w:val="Heading1"/>
      </w:pPr>
      <w:r>
        <w:t>2</w:t>
      </w:r>
      <w:r>
        <w:tab/>
        <w:t>Simulation scenario and assumptions</w:t>
      </w:r>
    </w:p>
    <w:p w14:paraId="0B24B834" w14:textId="28D9038B" w:rsidR="00947B31" w:rsidRDefault="00947B31" w:rsidP="00C746AB">
      <w:r>
        <w:t>A</w:t>
      </w:r>
      <w:r w:rsidRPr="00947B31">
        <w:t>dditional spurious emission</w:t>
      </w:r>
      <w:r w:rsidR="000B7337">
        <w:t xml:space="preserve"> </w:t>
      </w:r>
      <w:r w:rsidR="00C746AB">
        <w:t xml:space="preserve">requirements </w:t>
      </w:r>
      <w:r w:rsidRPr="00947B31">
        <w:t>are considered</w:t>
      </w:r>
      <w:r>
        <w:t xml:space="preserve"> according</w:t>
      </w:r>
      <w:r w:rsidR="000B7337">
        <w:t xml:space="preserve"> to</w:t>
      </w:r>
      <w:r>
        <w:t xml:space="preserve"> [1],</w:t>
      </w:r>
      <w:r w:rsidRPr="00947B31">
        <w:t xml:space="preserve"> as shown</w:t>
      </w:r>
      <w:r>
        <w:t xml:space="preserve"> in</w:t>
      </w:r>
      <w:r w:rsidRPr="00947B31">
        <w:t xml:space="preserve"> Table </w:t>
      </w:r>
      <w:r>
        <w:t>1.</w:t>
      </w:r>
    </w:p>
    <w:p w14:paraId="1ABB6BE0" w14:textId="21708C51" w:rsidR="00947B31" w:rsidRDefault="00947B31" w:rsidP="00947B31">
      <w:pPr>
        <w:pStyle w:val="TH"/>
        <w:rPr>
          <w:b w:val="0"/>
        </w:rPr>
      </w:pPr>
      <w:r>
        <w:t>Table 1</w:t>
      </w:r>
      <w:r w:rsidRPr="00C40F13">
        <w:t>: Additional</w:t>
      </w:r>
      <w:r w:rsidR="00205889">
        <w:t xml:space="preserve"> spurious requirements for </w:t>
      </w:r>
      <w:r>
        <w:t>CA_</w:t>
      </w:r>
      <w:r w:rsidR="00205889">
        <w:t>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gridCol w:w="1870"/>
      </w:tblGrid>
      <w:tr w:rsidR="00BB5FFB" w:rsidRPr="00C40F13" w14:paraId="6CC0F42D" w14:textId="29687E77" w:rsidTr="002526A8">
        <w:trPr>
          <w:cantSplit/>
          <w:trHeight w:val="381"/>
          <w:jc w:val="center"/>
        </w:trPr>
        <w:tc>
          <w:tcPr>
            <w:tcW w:w="2245" w:type="dxa"/>
            <w:tcBorders>
              <w:top w:val="single" w:sz="4" w:space="0" w:color="auto"/>
              <w:left w:val="single" w:sz="4" w:space="0" w:color="auto"/>
              <w:bottom w:val="single" w:sz="4" w:space="0" w:color="auto"/>
              <w:right w:val="single" w:sz="4" w:space="0" w:color="auto"/>
            </w:tcBorders>
            <w:hideMark/>
          </w:tcPr>
          <w:p w14:paraId="232620B5" w14:textId="77777777" w:rsidR="00BB5FFB" w:rsidRPr="00C40F13" w:rsidRDefault="00BB5FFB" w:rsidP="00A0165B">
            <w:pPr>
              <w:pStyle w:val="TAH"/>
            </w:pPr>
            <w:r w:rsidRPr="00C40F13">
              <w:t>Frequency range</w:t>
            </w:r>
          </w:p>
          <w:p w14:paraId="08C1794D" w14:textId="77777777" w:rsidR="00BB5FFB" w:rsidRPr="00C40F13" w:rsidRDefault="00BB5FFB" w:rsidP="00A0165B">
            <w:pPr>
              <w:pStyle w:val="TAH"/>
            </w:pPr>
            <w:r w:rsidRPr="00C40F13">
              <w:t>(MHz)</w:t>
            </w:r>
          </w:p>
        </w:tc>
        <w:tc>
          <w:tcPr>
            <w:tcW w:w="3347" w:type="dxa"/>
            <w:tcBorders>
              <w:top w:val="single" w:sz="4" w:space="0" w:color="auto"/>
              <w:left w:val="single" w:sz="4" w:space="0" w:color="auto"/>
              <w:right w:val="single" w:sz="4" w:space="0" w:color="auto"/>
            </w:tcBorders>
            <w:hideMark/>
          </w:tcPr>
          <w:p w14:paraId="015745A2" w14:textId="77777777" w:rsidR="00BB5FFB" w:rsidRPr="00C40F13" w:rsidRDefault="00BB5FFB" w:rsidP="00A0165B">
            <w:pPr>
              <w:pStyle w:val="TAH"/>
              <w:rPr>
                <w:rFonts w:eastAsia="SimSun"/>
              </w:rPr>
            </w:pPr>
            <w:r w:rsidRPr="00C40F13">
              <w:t>Spectrum emission limit (dBm)</w:t>
            </w:r>
          </w:p>
        </w:tc>
        <w:tc>
          <w:tcPr>
            <w:tcW w:w="1870" w:type="dxa"/>
            <w:tcBorders>
              <w:top w:val="single" w:sz="4" w:space="0" w:color="auto"/>
              <w:left w:val="single" w:sz="4" w:space="0" w:color="auto"/>
              <w:bottom w:val="single" w:sz="4" w:space="0" w:color="auto"/>
              <w:right w:val="single" w:sz="4" w:space="0" w:color="auto"/>
            </w:tcBorders>
            <w:hideMark/>
          </w:tcPr>
          <w:p w14:paraId="0C171658" w14:textId="77777777" w:rsidR="00BB5FFB" w:rsidRPr="00C40F13" w:rsidRDefault="00BB5FFB" w:rsidP="00A0165B">
            <w:pPr>
              <w:pStyle w:val="TAH"/>
            </w:pPr>
            <w:r w:rsidRPr="00C40F13">
              <w:t xml:space="preserve">Measurement bandwidth </w:t>
            </w:r>
          </w:p>
        </w:tc>
        <w:tc>
          <w:tcPr>
            <w:tcW w:w="1870" w:type="dxa"/>
            <w:tcBorders>
              <w:top w:val="single" w:sz="4" w:space="0" w:color="auto"/>
              <w:left w:val="single" w:sz="4" w:space="0" w:color="auto"/>
              <w:bottom w:val="single" w:sz="4" w:space="0" w:color="auto"/>
              <w:right w:val="single" w:sz="4" w:space="0" w:color="auto"/>
            </w:tcBorders>
          </w:tcPr>
          <w:p w14:paraId="28C862F0" w14:textId="32666B34" w:rsidR="00BB5FFB" w:rsidRPr="00C40F13" w:rsidRDefault="00BB5FFB" w:rsidP="00A0165B">
            <w:pPr>
              <w:pStyle w:val="TAH"/>
            </w:pPr>
            <w:r>
              <w:t>Note</w:t>
            </w:r>
          </w:p>
        </w:tc>
      </w:tr>
      <w:tr w:rsidR="00BB5FFB" w:rsidRPr="00C40F13" w14:paraId="0638D917" w14:textId="0485A29C" w:rsidTr="002526A8">
        <w:trPr>
          <w:jc w:val="center"/>
        </w:trPr>
        <w:tc>
          <w:tcPr>
            <w:tcW w:w="2245" w:type="dxa"/>
            <w:tcBorders>
              <w:top w:val="single" w:sz="4" w:space="0" w:color="auto"/>
              <w:left w:val="single" w:sz="4" w:space="0" w:color="auto"/>
              <w:bottom w:val="single" w:sz="4" w:space="0" w:color="auto"/>
              <w:right w:val="single" w:sz="4" w:space="0" w:color="auto"/>
            </w:tcBorders>
            <w:hideMark/>
          </w:tcPr>
          <w:p w14:paraId="41644F42" w14:textId="77777777" w:rsidR="00BB5FFB" w:rsidRPr="00C40F13" w:rsidRDefault="00BB5FFB" w:rsidP="00A0165B">
            <w:pPr>
              <w:pStyle w:val="TAC"/>
            </w:pPr>
            <w:r>
              <w:t>2570 MHz – 2575 MHz</w:t>
            </w:r>
          </w:p>
        </w:tc>
        <w:tc>
          <w:tcPr>
            <w:tcW w:w="3347" w:type="dxa"/>
            <w:tcBorders>
              <w:top w:val="single" w:sz="4" w:space="0" w:color="auto"/>
              <w:left w:val="single" w:sz="4" w:space="0" w:color="auto"/>
              <w:bottom w:val="single" w:sz="4" w:space="0" w:color="auto"/>
              <w:right w:val="single" w:sz="4" w:space="0" w:color="auto"/>
            </w:tcBorders>
            <w:hideMark/>
          </w:tcPr>
          <w:p w14:paraId="40415E3C" w14:textId="77777777" w:rsidR="00BB5FFB" w:rsidRPr="00C40F13" w:rsidRDefault="00BB5FFB" w:rsidP="00A0165B">
            <w:pPr>
              <w:pStyle w:val="TAC"/>
            </w:pPr>
            <w:r>
              <w:t>+1.6</w:t>
            </w:r>
          </w:p>
        </w:tc>
        <w:tc>
          <w:tcPr>
            <w:tcW w:w="1870" w:type="dxa"/>
            <w:tcBorders>
              <w:left w:val="single" w:sz="4" w:space="0" w:color="auto"/>
              <w:right w:val="single" w:sz="4" w:space="0" w:color="auto"/>
            </w:tcBorders>
            <w:hideMark/>
          </w:tcPr>
          <w:p w14:paraId="26C8F3AC" w14:textId="77777777" w:rsidR="00BB5FFB" w:rsidRPr="00C40F13" w:rsidRDefault="00BB5FFB" w:rsidP="00A0165B">
            <w:pPr>
              <w:pStyle w:val="TAC"/>
            </w:pPr>
            <w:r>
              <w:t>5 MHz</w:t>
            </w:r>
          </w:p>
        </w:tc>
        <w:tc>
          <w:tcPr>
            <w:tcW w:w="1870" w:type="dxa"/>
            <w:tcBorders>
              <w:left w:val="single" w:sz="4" w:space="0" w:color="auto"/>
              <w:right w:val="single" w:sz="4" w:space="0" w:color="auto"/>
            </w:tcBorders>
          </w:tcPr>
          <w:p w14:paraId="15BBE53C" w14:textId="42BB9DE2" w:rsidR="00BB5FFB" w:rsidRDefault="00066B40" w:rsidP="00A0165B">
            <w:pPr>
              <w:pStyle w:val="TAC"/>
            </w:pPr>
            <w:r>
              <w:t>1,2</w:t>
            </w:r>
          </w:p>
        </w:tc>
      </w:tr>
      <w:tr w:rsidR="00BB5FFB" w:rsidRPr="00C40F13" w14:paraId="0A5BB65B" w14:textId="1DBF4A37" w:rsidTr="002526A8">
        <w:trPr>
          <w:jc w:val="center"/>
        </w:trPr>
        <w:tc>
          <w:tcPr>
            <w:tcW w:w="2245" w:type="dxa"/>
            <w:tcBorders>
              <w:top w:val="single" w:sz="4" w:space="0" w:color="auto"/>
              <w:left w:val="single" w:sz="4" w:space="0" w:color="auto"/>
              <w:bottom w:val="single" w:sz="4" w:space="0" w:color="auto"/>
              <w:right w:val="single" w:sz="4" w:space="0" w:color="auto"/>
            </w:tcBorders>
            <w:hideMark/>
          </w:tcPr>
          <w:p w14:paraId="4DED0565" w14:textId="77777777" w:rsidR="00BB5FFB" w:rsidRPr="00C40F13" w:rsidRDefault="00BB5FFB" w:rsidP="00A0165B">
            <w:pPr>
              <w:pStyle w:val="TAC"/>
            </w:pPr>
            <w:r>
              <w:t>2575 MHz – 2595 MHz</w:t>
            </w:r>
          </w:p>
        </w:tc>
        <w:tc>
          <w:tcPr>
            <w:tcW w:w="3347" w:type="dxa"/>
            <w:tcBorders>
              <w:top w:val="single" w:sz="4" w:space="0" w:color="auto"/>
              <w:left w:val="single" w:sz="4" w:space="0" w:color="auto"/>
              <w:bottom w:val="single" w:sz="4" w:space="0" w:color="auto"/>
              <w:right w:val="single" w:sz="4" w:space="0" w:color="auto"/>
            </w:tcBorders>
            <w:hideMark/>
          </w:tcPr>
          <w:p w14:paraId="18F4DCD2" w14:textId="77777777" w:rsidR="00BB5FFB" w:rsidRPr="00C40F13" w:rsidRDefault="00BB5FFB" w:rsidP="00A0165B">
            <w:pPr>
              <w:pStyle w:val="TAC"/>
            </w:pPr>
            <w:r w:rsidRPr="00C40F13">
              <w:t>-</w:t>
            </w:r>
            <w:r>
              <w:t>15.5</w:t>
            </w:r>
          </w:p>
        </w:tc>
        <w:tc>
          <w:tcPr>
            <w:tcW w:w="1870" w:type="dxa"/>
            <w:tcBorders>
              <w:left w:val="single" w:sz="4" w:space="0" w:color="auto"/>
              <w:right w:val="single" w:sz="4" w:space="0" w:color="auto"/>
            </w:tcBorders>
            <w:hideMark/>
          </w:tcPr>
          <w:p w14:paraId="04C811B3" w14:textId="77777777" w:rsidR="00BB5FFB" w:rsidRPr="00C40F13" w:rsidRDefault="00BB5FFB" w:rsidP="00A0165B">
            <w:pPr>
              <w:pStyle w:val="TAC"/>
            </w:pPr>
            <w:r>
              <w:t>5 MHz</w:t>
            </w:r>
          </w:p>
        </w:tc>
        <w:tc>
          <w:tcPr>
            <w:tcW w:w="1870" w:type="dxa"/>
            <w:tcBorders>
              <w:left w:val="single" w:sz="4" w:space="0" w:color="auto"/>
              <w:right w:val="single" w:sz="4" w:space="0" w:color="auto"/>
            </w:tcBorders>
          </w:tcPr>
          <w:p w14:paraId="4E8EE8CF" w14:textId="71D055E7" w:rsidR="00BB5FFB" w:rsidRDefault="00066B40" w:rsidP="00A0165B">
            <w:pPr>
              <w:pStyle w:val="TAC"/>
            </w:pPr>
            <w:r>
              <w:t>1,2</w:t>
            </w:r>
          </w:p>
        </w:tc>
      </w:tr>
      <w:tr w:rsidR="00BB5FFB" w:rsidRPr="00C40F13" w14:paraId="3EED99FB" w14:textId="658F0EAC" w:rsidTr="000C1BD4">
        <w:trPr>
          <w:jc w:val="center"/>
        </w:trPr>
        <w:tc>
          <w:tcPr>
            <w:tcW w:w="2245" w:type="dxa"/>
            <w:tcBorders>
              <w:top w:val="single" w:sz="4" w:space="0" w:color="auto"/>
              <w:left w:val="single" w:sz="4" w:space="0" w:color="auto"/>
              <w:bottom w:val="single" w:sz="4" w:space="0" w:color="auto"/>
              <w:right w:val="single" w:sz="4" w:space="0" w:color="auto"/>
            </w:tcBorders>
          </w:tcPr>
          <w:p w14:paraId="7B6F689E" w14:textId="77777777" w:rsidR="00BB5FFB" w:rsidRDefault="00BB5FFB" w:rsidP="00A0165B">
            <w:pPr>
              <w:pStyle w:val="TAC"/>
            </w:pPr>
            <w:r>
              <w:t>2595 MHz – 2620</w:t>
            </w:r>
            <w:r w:rsidRPr="00C40F13">
              <w:t xml:space="preserve"> </w:t>
            </w:r>
            <w:r>
              <w:t>M</w:t>
            </w:r>
            <w:r w:rsidRPr="00C40F13">
              <w:t>Hz</w:t>
            </w:r>
          </w:p>
        </w:tc>
        <w:tc>
          <w:tcPr>
            <w:tcW w:w="3347" w:type="dxa"/>
            <w:tcBorders>
              <w:top w:val="single" w:sz="4" w:space="0" w:color="auto"/>
              <w:left w:val="single" w:sz="4" w:space="0" w:color="auto"/>
              <w:bottom w:val="single" w:sz="4" w:space="0" w:color="auto"/>
              <w:right w:val="single" w:sz="4" w:space="0" w:color="auto"/>
            </w:tcBorders>
          </w:tcPr>
          <w:p w14:paraId="7C0D7200" w14:textId="77777777" w:rsidR="00BB5FFB" w:rsidRPr="00C40F13" w:rsidRDefault="00BB5FFB" w:rsidP="00A0165B">
            <w:pPr>
              <w:pStyle w:val="TAC"/>
            </w:pPr>
            <w:r>
              <w:t>-40</w:t>
            </w:r>
          </w:p>
        </w:tc>
        <w:tc>
          <w:tcPr>
            <w:tcW w:w="1870" w:type="dxa"/>
            <w:tcBorders>
              <w:left w:val="single" w:sz="4" w:space="0" w:color="auto"/>
              <w:right w:val="single" w:sz="4" w:space="0" w:color="auto"/>
            </w:tcBorders>
          </w:tcPr>
          <w:p w14:paraId="2ADB6CE7" w14:textId="77777777" w:rsidR="00BB5FFB" w:rsidRPr="00C40F13" w:rsidRDefault="00BB5FFB" w:rsidP="00A0165B">
            <w:pPr>
              <w:pStyle w:val="TAC"/>
            </w:pPr>
            <w:r>
              <w:t>1 MHz</w:t>
            </w:r>
          </w:p>
        </w:tc>
        <w:tc>
          <w:tcPr>
            <w:tcW w:w="1870" w:type="dxa"/>
            <w:tcBorders>
              <w:left w:val="single" w:sz="4" w:space="0" w:color="auto"/>
              <w:right w:val="single" w:sz="4" w:space="0" w:color="auto"/>
            </w:tcBorders>
          </w:tcPr>
          <w:p w14:paraId="3C32C862" w14:textId="607C8304" w:rsidR="00BB5FFB" w:rsidRDefault="00066B40" w:rsidP="00A0165B">
            <w:pPr>
              <w:pStyle w:val="TAC"/>
            </w:pPr>
            <w:r>
              <w:t>1</w:t>
            </w:r>
          </w:p>
        </w:tc>
      </w:tr>
      <w:tr w:rsidR="000C1BD4" w:rsidRPr="00C40F13" w14:paraId="02B646F3" w14:textId="77777777" w:rsidTr="00841F6A">
        <w:trPr>
          <w:jc w:val="center"/>
        </w:trPr>
        <w:tc>
          <w:tcPr>
            <w:tcW w:w="9332" w:type="dxa"/>
            <w:gridSpan w:val="4"/>
            <w:tcBorders>
              <w:top w:val="single" w:sz="4" w:space="0" w:color="auto"/>
              <w:left w:val="single" w:sz="4" w:space="0" w:color="auto"/>
              <w:bottom w:val="single" w:sz="4" w:space="0" w:color="auto"/>
              <w:right w:val="single" w:sz="4" w:space="0" w:color="auto"/>
            </w:tcBorders>
          </w:tcPr>
          <w:p w14:paraId="79F20846" w14:textId="77777777" w:rsidR="000C1BD4" w:rsidRDefault="003F318D" w:rsidP="003F318D">
            <w:pPr>
              <w:pStyle w:val="TAC"/>
              <w:jc w:val="left"/>
              <w:rPr>
                <w:color w:val="0D0D0D" w:themeColor="text1" w:themeTint="F2"/>
              </w:rPr>
            </w:pPr>
            <w:r>
              <w:rPr>
                <w:color w:val="0D0D0D" w:themeColor="text1" w:themeTint="F2"/>
              </w:rPr>
              <w:t>Note1:</w:t>
            </w:r>
            <w:r w:rsidR="009C1D5A">
              <w:rPr>
                <w:color w:val="0D0D0D" w:themeColor="text1" w:themeTint="F2"/>
              </w:rPr>
              <w:t xml:space="preserve"> This requirement is applicable for carriers</w:t>
            </w:r>
            <w:r w:rsidR="000020D4">
              <w:rPr>
                <w:color w:val="0D0D0D" w:themeColor="text1" w:themeTint="F2"/>
              </w:rPr>
              <w:t xml:space="preserve"> confined in 2500-2570MHz.</w:t>
            </w:r>
          </w:p>
          <w:p w14:paraId="15C00616" w14:textId="56BC0EB8" w:rsidR="000020D4" w:rsidRDefault="000020D4" w:rsidP="003F318D">
            <w:pPr>
              <w:pStyle w:val="TAC"/>
              <w:jc w:val="left"/>
            </w:pPr>
            <w:r>
              <w:t xml:space="preserve">Note2: </w:t>
            </w:r>
            <w:r w:rsidR="004174DC">
              <w:t xml:space="preserve">For these adjacent bands, the emission limit could </w:t>
            </w:r>
            <w:r w:rsidR="00DB1FC4">
              <w:t>imply risk of harmful interference to UE</w:t>
            </w:r>
            <w:r w:rsidR="003033B3">
              <w:t>(</w:t>
            </w:r>
            <w:r w:rsidR="00DB1FC4">
              <w:t>s</w:t>
            </w:r>
            <w:r w:rsidR="003033B3">
              <w:t>) operated in the protected operating band.</w:t>
            </w:r>
          </w:p>
        </w:tc>
      </w:tr>
    </w:tbl>
    <w:p w14:paraId="0989EBB8" w14:textId="77777777" w:rsidR="00947B31" w:rsidRDefault="00947B31" w:rsidP="00470375">
      <w:pPr>
        <w:rPr>
          <w:b/>
          <w:bCs/>
        </w:rPr>
      </w:pPr>
    </w:p>
    <w:p w14:paraId="58DABC7C" w14:textId="2E878073" w:rsidR="00947B31" w:rsidRPr="00947B31" w:rsidRDefault="00947B31" w:rsidP="00470375">
      <w:pPr>
        <w:rPr>
          <w:b/>
          <w:bCs/>
        </w:rPr>
      </w:pPr>
      <w:r w:rsidRPr="00947B31">
        <w:rPr>
          <w:b/>
          <w:bCs/>
        </w:rPr>
        <w:t>Simulation assumptions were as follows</w:t>
      </w:r>
      <w:r w:rsidR="00AD2218">
        <w:rPr>
          <w:b/>
          <w:bCs/>
        </w:rPr>
        <w:t>:</w:t>
      </w:r>
    </w:p>
    <w:p w14:paraId="64E03F3E" w14:textId="047D600E" w:rsidR="00470375" w:rsidRDefault="00470375" w:rsidP="00470375">
      <w:r>
        <w:t xml:space="preserve">IQ-Image and LO leakage = 28 </w:t>
      </w:r>
      <w:proofErr w:type="spellStart"/>
      <w:r>
        <w:t>dBc</w:t>
      </w:r>
      <w:proofErr w:type="spellEnd"/>
    </w:p>
    <w:p w14:paraId="09E72257" w14:textId="5CDC7887" w:rsidR="00470375" w:rsidRDefault="00470375" w:rsidP="00470375">
      <w:r>
        <w:t xml:space="preserve">CIM3 = </w:t>
      </w:r>
      <w:r w:rsidR="003620BB">
        <w:t>-</w:t>
      </w:r>
      <w:r>
        <w:t xml:space="preserve">60 </w:t>
      </w:r>
      <w:proofErr w:type="spellStart"/>
      <w:r>
        <w:t>dBc</w:t>
      </w:r>
      <w:proofErr w:type="spellEnd"/>
    </w:p>
    <w:p w14:paraId="7C389261" w14:textId="5CBFD861" w:rsidR="00EA0331" w:rsidRDefault="00470375" w:rsidP="00470375">
      <w:r>
        <w:t>PA calibration point was 20 MHz, 15 kHz, QPSK, DFT-S-OF</w:t>
      </w:r>
      <w:r w:rsidR="007B2A92">
        <w:t>DM</w:t>
      </w:r>
      <w:r>
        <w:t xml:space="preserve">, 100 RB at lower channel edge with </w:t>
      </w:r>
      <w:r w:rsidR="000F0F26">
        <w:t>1.0</w:t>
      </w:r>
      <w:r>
        <w:t xml:space="preserve"> dB MPR</w:t>
      </w:r>
    </w:p>
    <w:p w14:paraId="4BC14F1E" w14:textId="281FF9B7" w:rsidR="00545B26" w:rsidRDefault="00545B26" w:rsidP="00470375">
      <w:r>
        <w:t>No IBE or EVM was simulated</w:t>
      </w:r>
      <w:r w:rsidR="00EB4DD8">
        <w:t>.</w:t>
      </w:r>
    </w:p>
    <w:p w14:paraId="709AFE89" w14:textId="572F5A73" w:rsidR="00EA0331" w:rsidRPr="00EA0331" w:rsidRDefault="000B7337" w:rsidP="00EA0331">
      <w:pPr>
        <w:pStyle w:val="Heading1"/>
      </w:pPr>
      <w:r>
        <w:lastRenderedPageBreak/>
        <w:t>3</w:t>
      </w:r>
      <w:r w:rsidR="006376BE">
        <w:tab/>
      </w:r>
      <w:r w:rsidR="00270309">
        <w:t>A-MPR Results for Contiguous Allocations</w:t>
      </w:r>
    </w:p>
    <w:p w14:paraId="2E22A284" w14:textId="04FC867E" w:rsidR="006376BE" w:rsidRDefault="000B7337" w:rsidP="006376BE">
      <w:pPr>
        <w:pStyle w:val="Heading2"/>
      </w:pPr>
      <w:r>
        <w:t>3.</w:t>
      </w:r>
      <w:r w:rsidR="006376BE" w:rsidRPr="006376BE">
        <w:t>1</w:t>
      </w:r>
      <w:r w:rsidR="006376BE" w:rsidRPr="006376BE">
        <w:tab/>
      </w:r>
      <w:r w:rsidR="00593AEE">
        <w:t xml:space="preserve">BW_CA </w:t>
      </w:r>
      <w:r w:rsidR="00EA0331">
        <w:rPr>
          <w:rFonts w:cs="Arial"/>
        </w:rPr>
        <w:t>≈</w:t>
      </w:r>
      <w:r w:rsidR="00593AEE">
        <w:t xml:space="preserve"> 20 MHz</w:t>
      </w:r>
    </w:p>
    <w:p w14:paraId="4A8BA66F" w14:textId="10C39569" w:rsidR="00631774" w:rsidRDefault="000F3D04" w:rsidP="00545B26">
      <w:pPr>
        <w:jc w:val="center"/>
        <w:rPr>
          <w:b/>
          <w:bCs/>
        </w:rPr>
      </w:pPr>
      <w:r>
        <w:rPr>
          <w:noProof/>
        </w:rPr>
        <w:t xml:space="preserve">      </w:t>
      </w:r>
      <w:r w:rsidR="00FA6B76">
        <w:rPr>
          <w:noProof/>
        </w:rPr>
        <w:drawing>
          <wp:inline distT="0" distB="0" distL="0" distR="0" wp14:anchorId="62E911CE" wp14:editId="225D049F">
            <wp:extent cx="2533650" cy="212305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572127" cy="2155300"/>
                    </a:xfrm>
                    <a:prstGeom prst="rect">
                      <a:avLst/>
                    </a:prstGeom>
                  </pic:spPr>
                </pic:pic>
              </a:graphicData>
            </a:graphic>
          </wp:inline>
        </w:drawing>
      </w:r>
      <w:r w:rsidR="001B5417">
        <w:rPr>
          <w:noProof/>
        </w:rPr>
        <w:t xml:space="preserve">     </w:t>
      </w:r>
      <w:r w:rsidR="00243E1F">
        <w:rPr>
          <w:noProof/>
        </w:rPr>
        <w:drawing>
          <wp:inline distT="0" distB="0" distL="0" distR="0" wp14:anchorId="418B6946" wp14:editId="1C528124">
            <wp:extent cx="2538413" cy="211534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59189" cy="2132658"/>
                    </a:xfrm>
                    <a:prstGeom prst="rect">
                      <a:avLst/>
                    </a:prstGeom>
                  </pic:spPr>
                </pic:pic>
              </a:graphicData>
            </a:graphic>
          </wp:inline>
        </w:drawing>
      </w:r>
    </w:p>
    <w:p w14:paraId="47EB880C" w14:textId="009F8CBC" w:rsidR="00BC65B5" w:rsidRDefault="00BC65B5" w:rsidP="00BC65B5">
      <w:pPr>
        <w:rPr>
          <w:b/>
          <w:bCs/>
        </w:rPr>
      </w:pPr>
      <w:r>
        <w:rPr>
          <w:b/>
          <w:bCs/>
        </w:rPr>
        <w:tab/>
      </w:r>
      <w:r>
        <w:rPr>
          <w:b/>
          <w:bCs/>
        </w:rPr>
        <w:tab/>
      </w:r>
      <w:r>
        <w:rPr>
          <w:b/>
          <w:bCs/>
        </w:rPr>
        <w:tab/>
      </w:r>
      <w:r>
        <w:rPr>
          <w:b/>
          <w:bCs/>
        </w:rPr>
        <w:tab/>
      </w:r>
      <w:r>
        <w:rPr>
          <w:b/>
          <w:bCs/>
        </w:rPr>
        <w:tab/>
      </w:r>
      <w:r>
        <w:rPr>
          <w:b/>
          <w:bCs/>
        </w:rPr>
        <w:tab/>
      </w:r>
      <w:r>
        <w:rPr>
          <w:b/>
          <w:bCs/>
        </w:rPr>
        <w:tab/>
      </w:r>
      <w:r w:rsidR="000F3D04">
        <w:rPr>
          <w:b/>
          <w:bCs/>
        </w:rPr>
        <w:t xml:space="preserve">        </w:t>
      </w:r>
      <w:r>
        <w:rPr>
          <w:b/>
          <w:bCs/>
        </w:rPr>
        <w:t>SCFDMA</w:t>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t>OFDM</w:t>
      </w:r>
    </w:p>
    <w:p w14:paraId="0A9ED5C1" w14:textId="777344C1" w:rsidR="00593AEE" w:rsidRDefault="00593AEE" w:rsidP="00545B26">
      <w:pPr>
        <w:jc w:val="center"/>
        <w:rPr>
          <w:b/>
          <w:bCs/>
        </w:rPr>
      </w:pPr>
      <w:r w:rsidRPr="00545B26">
        <w:rPr>
          <w:b/>
          <w:bCs/>
        </w:rPr>
        <w:t xml:space="preserve">Figure 1. </w:t>
      </w:r>
      <w:r w:rsidR="00545B26" w:rsidRPr="00545B26">
        <w:rPr>
          <w:b/>
          <w:bCs/>
        </w:rPr>
        <w:t>Total back</w:t>
      </w:r>
      <w:r w:rsidR="00B535A7">
        <w:rPr>
          <w:b/>
          <w:bCs/>
        </w:rPr>
        <w:t>-</w:t>
      </w:r>
      <w:r w:rsidR="00545B26" w:rsidRPr="00545B26">
        <w:rPr>
          <w:b/>
          <w:bCs/>
        </w:rPr>
        <w:t xml:space="preserve">off for </w:t>
      </w:r>
      <w:r w:rsidRPr="00545B26">
        <w:rPr>
          <w:b/>
          <w:bCs/>
        </w:rPr>
        <w:t>10+10</w:t>
      </w:r>
      <w:r w:rsidR="00545B26" w:rsidRPr="00545B26">
        <w:rPr>
          <w:b/>
          <w:bCs/>
        </w:rPr>
        <w:t xml:space="preserve"> MHz CA with 0 Hz offset from</w:t>
      </w:r>
      <w:r w:rsidR="00545B26">
        <w:rPr>
          <w:b/>
          <w:bCs/>
        </w:rPr>
        <w:t xml:space="preserve"> the</w:t>
      </w:r>
      <w:r w:rsidR="00545B26" w:rsidRPr="00545B26">
        <w:rPr>
          <w:b/>
          <w:bCs/>
        </w:rPr>
        <w:t xml:space="preserve"> top edge of n7.</w:t>
      </w:r>
    </w:p>
    <w:p w14:paraId="6F9682CE" w14:textId="77777777" w:rsidR="00E73ABB" w:rsidRDefault="00E73ABB" w:rsidP="00545B26">
      <w:pPr>
        <w:jc w:val="center"/>
      </w:pPr>
    </w:p>
    <w:p w14:paraId="5C662168" w14:textId="7C251D02" w:rsidR="00593AEE" w:rsidRDefault="000B7337" w:rsidP="00593AEE">
      <w:pPr>
        <w:pStyle w:val="Heading2"/>
      </w:pPr>
      <w:r>
        <w:t>3.</w:t>
      </w:r>
      <w:r w:rsidR="00593AEE">
        <w:t>2</w:t>
      </w:r>
      <w:r w:rsidR="00593AEE" w:rsidRPr="006376BE">
        <w:tab/>
      </w:r>
      <w:r w:rsidR="00593AEE">
        <w:t xml:space="preserve">BW_CA </w:t>
      </w:r>
      <w:r w:rsidR="00EA0331">
        <w:t>≈</w:t>
      </w:r>
      <w:r w:rsidR="00593AEE">
        <w:t xml:space="preserve"> 25 MHz</w:t>
      </w:r>
    </w:p>
    <w:p w14:paraId="36D6BF74" w14:textId="77777777" w:rsidR="00E73ABB" w:rsidRPr="00E73ABB" w:rsidRDefault="00E73ABB" w:rsidP="00E73ABB"/>
    <w:p w14:paraId="2B408EAC" w14:textId="53261A5E" w:rsidR="00593AEE" w:rsidRDefault="000F3D04" w:rsidP="006531E4">
      <w:r>
        <w:rPr>
          <w:noProof/>
        </w:rPr>
        <w:t xml:space="preserve">            </w:t>
      </w:r>
      <w:r w:rsidR="001B5417">
        <w:rPr>
          <w:noProof/>
        </w:rPr>
        <w:t xml:space="preserve"> </w:t>
      </w:r>
      <w:r w:rsidR="00B0763D">
        <w:rPr>
          <w:noProof/>
        </w:rPr>
        <w:drawing>
          <wp:inline distT="0" distB="0" distL="0" distR="0" wp14:anchorId="2233AE75" wp14:editId="01D8D26D">
            <wp:extent cx="2552512" cy="2209482"/>
            <wp:effectExtent l="0" t="0" r="63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06405" cy="2256133"/>
                    </a:xfrm>
                    <a:prstGeom prst="rect">
                      <a:avLst/>
                    </a:prstGeom>
                  </pic:spPr>
                </pic:pic>
              </a:graphicData>
            </a:graphic>
          </wp:inline>
        </w:drawing>
      </w:r>
      <w:r w:rsidR="001B5417">
        <w:rPr>
          <w:noProof/>
        </w:rPr>
        <w:t xml:space="preserve">    </w:t>
      </w:r>
      <w:r>
        <w:rPr>
          <w:noProof/>
        </w:rPr>
        <w:t xml:space="preserve">     </w:t>
      </w:r>
      <w:r w:rsidR="001B5417">
        <w:rPr>
          <w:noProof/>
        </w:rPr>
        <w:t xml:space="preserve"> </w:t>
      </w:r>
      <w:r>
        <w:rPr>
          <w:noProof/>
        </w:rPr>
        <w:drawing>
          <wp:inline distT="0" distB="0" distL="0" distR="0" wp14:anchorId="70010A70" wp14:editId="06B8279A">
            <wp:extent cx="2552512" cy="2190433"/>
            <wp:effectExtent l="0" t="0" r="63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83304" cy="2216857"/>
                    </a:xfrm>
                    <a:prstGeom prst="rect">
                      <a:avLst/>
                    </a:prstGeom>
                  </pic:spPr>
                </pic:pic>
              </a:graphicData>
            </a:graphic>
          </wp:inline>
        </w:drawing>
      </w:r>
    </w:p>
    <w:p w14:paraId="15498696" w14:textId="6BE939C6" w:rsidR="007C4EE8" w:rsidRDefault="007C4EE8" w:rsidP="007C4EE8">
      <w:pPr>
        <w:jc w:val="center"/>
        <w:rPr>
          <w:b/>
          <w:bCs/>
        </w:rPr>
      </w:pPr>
      <w:r>
        <w:rPr>
          <w:b/>
          <w:bCs/>
        </w:rPr>
        <w:t>SCFDMA</w:t>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t>OFDM</w:t>
      </w:r>
    </w:p>
    <w:p w14:paraId="6D5A610E" w14:textId="77777777" w:rsidR="00E73ABB" w:rsidRDefault="00E73ABB" w:rsidP="007C4EE8">
      <w:pPr>
        <w:jc w:val="center"/>
        <w:rPr>
          <w:b/>
          <w:bCs/>
        </w:rPr>
      </w:pPr>
    </w:p>
    <w:p w14:paraId="78E0B599" w14:textId="160AF278" w:rsidR="00593AEE" w:rsidRDefault="00545B26" w:rsidP="00191154">
      <w:pPr>
        <w:jc w:val="center"/>
      </w:pPr>
      <w:r w:rsidRPr="00545B26">
        <w:rPr>
          <w:b/>
          <w:bCs/>
        </w:rPr>
        <w:t xml:space="preserve">Figure </w:t>
      </w:r>
      <w:r>
        <w:rPr>
          <w:b/>
          <w:bCs/>
        </w:rPr>
        <w:t>2</w:t>
      </w:r>
      <w:r w:rsidRPr="00545B26">
        <w:rPr>
          <w:b/>
          <w:bCs/>
        </w:rPr>
        <w:t>. Total back</w:t>
      </w:r>
      <w:r w:rsidR="00B535A7">
        <w:rPr>
          <w:b/>
          <w:bCs/>
        </w:rPr>
        <w:t>-</w:t>
      </w:r>
      <w:r w:rsidRPr="00545B26">
        <w:rPr>
          <w:b/>
          <w:bCs/>
        </w:rPr>
        <w:t>off for 1</w:t>
      </w:r>
      <w:r w:rsidR="00F63856">
        <w:rPr>
          <w:b/>
          <w:bCs/>
        </w:rPr>
        <w:t>5</w:t>
      </w:r>
      <w:r w:rsidRPr="00545B26">
        <w:rPr>
          <w:b/>
          <w:bCs/>
        </w:rPr>
        <w:t>+1</w:t>
      </w:r>
      <w:r w:rsidR="00F63856">
        <w:rPr>
          <w:b/>
          <w:bCs/>
        </w:rPr>
        <w:t>0</w:t>
      </w:r>
      <w:r w:rsidRPr="00545B26">
        <w:rPr>
          <w:b/>
          <w:bCs/>
        </w:rPr>
        <w:t xml:space="preserve"> MHz CA with 0 Hz offset from</w:t>
      </w:r>
      <w:r>
        <w:rPr>
          <w:b/>
          <w:bCs/>
        </w:rPr>
        <w:t xml:space="preserve"> the</w:t>
      </w:r>
      <w:r w:rsidRPr="00545B26">
        <w:rPr>
          <w:b/>
          <w:bCs/>
        </w:rPr>
        <w:t xml:space="preserve"> top edge of n7.</w:t>
      </w:r>
    </w:p>
    <w:p w14:paraId="420FD895" w14:textId="730738AF" w:rsidR="00593AEE" w:rsidRDefault="00593AEE" w:rsidP="006531E4"/>
    <w:p w14:paraId="5FA396CE" w14:textId="589D31EA" w:rsidR="00593AEE" w:rsidRDefault="000B7337" w:rsidP="00593AEE">
      <w:pPr>
        <w:pStyle w:val="Heading2"/>
      </w:pPr>
      <w:r>
        <w:lastRenderedPageBreak/>
        <w:t>3.</w:t>
      </w:r>
      <w:r w:rsidR="00593AEE">
        <w:t>3</w:t>
      </w:r>
      <w:r w:rsidR="00593AEE" w:rsidRPr="006376BE">
        <w:tab/>
      </w:r>
      <w:r w:rsidR="00593AEE">
        <w:t xml:space="preserve">BW_CA </w:t>
      </w:r>
      <w:r w:rsidR="00EA0331">
        <w:t>≈</w:t>
      </w:r>
      <w:r w:rsidR="00593AEE">
        <w:t xml:space="preserve"> 30 MHz</w:t>
      </w:r>
    </w:p>
    <w:p w14:paraId="4421E2EE" w14:textId="471872E3" w:rsidR="00593AEE" w:rsidRDefault="00D312BE" w:rsidP="006531E4">
      <w:r>
        <w:rPr>
          <w:noProof/>
        </w:rPr>
        <w:t xml:space="preserve">            </w:t>
      </w:r>
      <w:r w:rsidR="001E2F1D">
        <w:rPr>
          <w:noProof/>
        </w:rPr>
        <w:t xml:space="preserve">   </w:t>
      </w:r>
      <w:r w:rsidR="00FD2F5E">
        <w:rPr>
          <w:noProof/>
        </w:rPr>
        <w:drawing>
          <wp:inline distT="0" distB="0" distL="0" distR="0" wp14:anchorId="39DB6F54" wp14:editId="324ABFD6">
            <wp:extent cx="2543175" cy="213686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71225" cy="2160438"/>
                    </a:xfrm>
                    <a:prstGeom prst="rect">
                      <a:avLst/>
                    </a:prstGeom>
                  </pic:spPr>
                </pic:pic>
              </a:graphicData>
            </a:graphic>
          </wp:inline>
        </w:drawing>
      </w:r>
      <w:r w:rsidR="001E2F1D">
        <w:rPr>
          <w:noProof/>
        </w:rPr>
        <w:t xml:space="preserve">        </w:t>
      </w:r>
      <w:r>
        <w:rPr>
          <w:noProof/>
        </w:rPr>
        <w:drawing>
          <wp:inline distT="0" distB="0" distL="0" distR="0" wp14:anchorId="6373114E" wp14:editId="26D46B87">
            <wp:extent cx="2528570" cy="2164248"/>
            <wp:effectExtent l="0" t="0" r="508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90770" cy="2217486"/>
                    </a:xfrm>
                    <a:prstGeom prst="rect">
                      <a:avLst/>
                    </a:prstGeom>
                  </pic:spPr>
                </pic:pic>
              </a:graphicData>
            </a:graphic>
          </wp:inline>
        </w:drawing>
      </w:r>
    </w:p>
    <w:p w14:paraId="7B3FAFAE" w14:textId="3F4A474E" w:rsidR="001E74C5" w:rsidRDefault="001E74C5" w:rsidP="001E74C5">
      <w:pPr>
        <w:jc w:val="center"/>
        <w:rPr>
          <w:b/>
          <w:bCs/>
        </w:rPr>
      </w:pPr>
      <w:r>
        <w:rPr>
          <w:b/>
          <w:bCs/>
        </w:rPr>
        <w:t>SCFDMA</w:t>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t>OFDM</w:t>
      </w:r>
    </w:p>
    <w:p w14:paraId="1F9E407F" w14:textId="77777777" w:rsidR="00E73ABB" w:rsidRDefault="00E73ABB" w:rsidP="001E74C5">
      <w:pPr>
        <w:jc w:val="center"/>
        <w:rPr>
          <w:b/>
          <w:bCs/>
        </w:rPr>
      </w:pPr>
    </w:p>
    <w:p w14:paraId="6C6F184F" w14:textId="4C67E112" w:rsidR="00593AEE" w:rsidRDefault="00545B26" w:rsidP="00191154">
      <w:pPr>
        <w:jc w:val="center"/>
        <w:rPr>
          <w:b/>
          <w:bCs/>
        </w:rPr>
      </w:pPr>
      <w:r w:rsidRPr="00545B26">
        <w:rPr>
          <w:b/>
          <w:bCs/>
        </w:rPr>
        <w:t xml:space="preserve">Figure </w:t>
      </w:r>
      <w:r w:rsidR="00447BFD">
        <w:rPr>
          <w:b/>
          <w:bCs/>
        </w:rPr>
        <w:t>3</w:t>
      </w:r>
      <w:r w:rsidRPr="00545B26">
        <w:rPr>
          <w:b/>
          <w:bCs/>
        </w:rPr>
        <w:t>. Total back</w:t>
      </w:r>
      <w:r w:rsidR="007B6549">
        <w:rPr>
          <w:b/>
          <w:bCs/>
        </w:rPr>
        <w:t>-</w:t>
      </w:r>
      <w:r w:rsidRPr="00545B26">
        <w:rPr>
          <w:b/>
          <w:bCs/>
        </w:rPr>
        <w:t>off for 1</w:t>
      </w:r>
      <w:r w:rsidR="00FB6408">
        <w:rPr>
          <w:b/>
          <w:bCs/>
        </w:rPr>
        <w:t>5</w:t>
      </w:r>
      <w:r w:rsidRPr="00545B26">
        <w:rPr>
          <w:b/>
          <w:bCs/>
        </w:rPr>
        <w:t>+</w:t>
      </w:r>
      <w:r w:rsidR="00FB6408">
        <w:rPr>
          <w:b/>
          <w:bCs/>
        </w:rPr>
        <w:t>15</w:t>
      </w:r>
      <w:r w:rsidRPr="00545B26">
        <w:rPr>
          <w:b/>
          <w:bCs/>
        </w:rPr>
        <w:t xml:space="preserve"> MHz CA with 0 Hz offset from</w:t>
      </w:r>
      <w:r>
        <w:rPr>
          <w:b/>
          <w:bCs/>
        </w:rPr>
        <w:t xml:space="preserve"> the</w:t>
      </w:r>
      <w:r w:rsidRPr="00545B26">
        <w:rPr>
          <w:b/>
          <w:bCs/>
        </w:rPr>
        <w:t xml:space="preserve"> top edge of n7.</w:t>
      </w:r>
    </w:p>
    <w:p w14:paraId="7394C197" w14:textId="77777777" w:rsidR="00E73ABB" w:rsidRDefault="00E73ABB" w:rsidP="001E74C5"/>
    <w:p w14:paraId="5F79D688" w14:textId="48AA68D7" w:rsidR="00593AEE" w:rsidRDefault="000B7337" w:rsidP="00160934">
      <w:pPr>
        <w:pStyle w:val="Heading2"/>
        <w:ind w:left="0" w:firstLine="0"/>
      </w:pPr>
      <w:r>
        <w:t>3.</w:t>
      </w:r>
      <w:r w:rsidR="00593AEE">
        <w:t>4</w:t>
      </w:r>
      <w:r w:rsidR="00593AEE" w:rsidRPr="006376BE">
        <w:tab/>
      </w:r>
      <w:r w:rsidR="00593AEE">
        <w:t xml:space="preserve">BW_CA </w:t>
      </w:r>
      <w:r w:rsidR="00EA0331">
        <w:t>≈</w:t>
      </w:r>
      <w:r w:rsidR="00593AEE">
        <w:t xml:space="preserve"> 35 MHz</w:t>
      </w:r>
    </w:p>
    <w:p w14:paraId="115A9BEB" w14:textId="5B09A999" w:rsidR="00593AEE" w:rsidRDefault="00C83C4A" w:rsidP="006531E4">
      <w:r>
        <w:t xml:space="preserve">                  </w:t>
      </w:r>
      <w:r w:rsidR="00F3441E">
        <w:rPr>
          <w:noProof/>
        </w:rPr>
        <w:drawing>
          <wp:inline distT="0" distB="0" distL="0" distR="0" wp14:anchorId="44EBC4F4" wp14:editId="23EF9737">
            <wp:extent cx="2586038" cy="2229342"/>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49613" cy="2284148"/>
                    </a:xfrm>
                    <a:prstGeom prst="rect">
                      <a:avLst/>
                    </a:prstGeom>
                  </pic:spPr>
                </pic:pic>
              </a:graphicData>
            </a:graphic>
          </wp:inline>
        </w:drawing>
      </w:r>
      <w:r w:rsidR="00111E52">
        <w:t xml:space="preserve">         </w:t>
      </w:r>
      <w:r>
        <w:rPr>
          <w:noProof/>
        </w:rPr>
        <w:drawing>
          <wp:inline distT="0" distB="0" distL="0" distR="0" wp14:anchorId="0E356070" wp14:editId="42E96B64">
            <wp:extent cx="2600048" cy="22186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36502" cy="2249797"/>
                    </a:xfrm>
                    <a:prstGeom prst="rect">
                      <a:avLst/>
                    </a:prstGeom>
                  </pic:spPr>
                </pic:pic>
              </a:graphicData>
            </a:graphic>
          </wp:inline>
        </w:drawing>
      </w:r>
    </w:p>
    <w:p w14:paraId="17085506" w14:textId="7ED28BEE" w:rsidR="00447BFD" w:rsidRDefault="00C83C4A" w:rsidP="00447BFD">
      <w:pPr>
        <w:jc w:val="center"/>
        <w:rPr>
          <w:b/>
          <w:bCs/>
        </w:rPr>
      </w:pPr>
      <w:r>
        <w:rPr>
          <w:b/>
          <w:bCs/>
        </w:rPr>
        <w:t xml:space="preserve">           </w:t>
      </w:r>
      <w:r w:rsidR="00447BFD">
        <w:rPr>
          <w:b/>
          <w:bCs/>
        </w:rPr>
        <w:t>SCFDMA</w:t>
      </w:r>
      <w:r w:rsidR="00447BFD">
        <w:rPr>
          <w:b/>
          <w:bCs/>
        </w:rPr>
        <w:tab/>
      </w:r>
      <w:r w:rsidR="00447BFD">
        <w:rPr>
          <w:b/>
          <w:bCs/>
        </w:rPr>
        <w:tab/>
      </w:r>
      <w:r w:rsidR="00447BFD">
        <w:rPr>
          <w:b/>
          <w:bCs/>
        </w:rPr>
        <w:tab/>
      </w:r>
      <w:r w:rsidR="00447BFD">
        <w:rPr>
          <w:b/>
          <w:bCs/>
        </w:rPr>
        <w:tab/>
      </w:r>
      <w:r w:rsidR="00447BFD">
        <w:rPr>
          <w:b/>
          <w:bCs/>
        </w:rPr>
        <w:tab/>
      </w:r>
      <w:r w:rsidR="00447BFD">
        <w:rPr>
          <w:b/>
          <w:bCs/>
        </w:rPr>
        <w:tab/>
      </w:r>
      <w:r w:rsidR="00447BFD">
        <w:rPr>
          <w:b/>
          <w:bCs/>
        </w:rPr>
        <w:tab/>
      </w:r>
      <w:r w:rsidR="00447BFD">
        <w:rPr>
          <w:b/>
          <w:bCs/>
        </w:rPr>
        <w:tab/>
      </w:r>
      <w:r w:rsidR="00447BFD">
        <w:rPr>
          <w:b/>
          <w:bCs/>
        </w:rPr>
        <w:tab/>
      </w:r>
      <w:r w:rsidR="00447BFD">
        <w:rPr>
          <w:b/>
          <w:bCs/>
        </w:rPr>
        <w:tab/>
      </w:r>
      <w:r w:rsidR="00447BFD">
        <w:rPr>
          <w:b/>
          <w:bCs/>
        </w:rPr>
        <w:tab/>
      </w:r>
      <w:r w:rsidR="00447BFD">
        <w:rPr>
          <w:b/>
          <w:bCs/>
        </w:rPr>
        <w:tab/>
      </w:r>
      <w:r w:rsidR="00447BFD">
        <w:rPr>
          <w:b/>
          <w:bCs/>
        </w:rPr>
        <w:tab/>
      </w:r>
      <w:r w:rsidR="00447BFD">
        <w:rPr>
          <w:b/>
          <w:bCs/>
        </w:rPr>
        <w:tab/>
      </w:r>
      <w:r>
        <w:rPr>
          <w:b/>
          <w:bCs/>
        </w:rPr>
        <w:t xml:space="preserve">   </w:t>
      </w:r>
      <w:r w:rsidR="00447BFD">
        <w:rPr>
          <w:b/>
          <w:bCs/>
        </w:rPr>
        <w:t>OFDM</w:t>
      </w:r>
    </w:p>
    <w:p w14:paraId="17B07C63" w14:textId="77777777" w:rsidR="00E73ABB" w:rsidRDefault="00E73ABB" w:rsidP="00447BFD">
      <w:pPr>
        <w:jc w:val="center"/>
        <w:rPr>
          <w:b/>
          <w:bCs/>
        </w:rPr>
      </w:pPr>
    </w:p>
    <w:p w14:paraId="43739987" w14:textId="77C66920" w:rsidR="00593AEE" w:rsidRDefault="00545B26" w:rsidP="00191154">
      <w:pPr>
        <w:jc w:val="center"/>
        <w:rPr>
          <w:b/>
          <w:bCs/>
        </w:rPr>
      </w:pPr>
      <w:r w:rsidRPr="00545B26">
        <w:rPr>
          <w:b/>
          <w:bCs/>
        </w:rPr>
        <w:t xml:space="preserve">Figure </w:t>
      </w:r>
      <w:r w:rsidR="00447BFD">
        <w:rPr>
          <w:b/>
          <w:bCs/>
        </w:rPr>
        <w:t>4</w:t>
      </w:r>
      <w:r w:rsidRPr="00545B26">
        <w:rPr>
          <w:b/>
          <w:bCs/>
        </w:rPr>
        <w:t>. Total back</w:t>
      </w:r>
      <w:r w:rsidR="007B6549">
        <w:rPr>
          <w:b/>
          <w:bCs/>
        </w:rPr>
        <w:t xml:space="preserve">-off </w:t>
      </w:r>
      <w:r w:rsidRPr="00545B26">
        <w:rPr>
          <w:b/>
          <w:bCs/>
        </w:rPr>
        <w:t xml:space="preserve">for </w:t>
      </w:r>
      <w:r w:rsidR="00160934">
        <w:rPr>
          <w:b/>
          <w:bCs/>
        </w:rPr>
        <w:t>20</w:t>
      </w:r>
      <w:r w:rsidRPr="00545B26">
        <w:rPr>
          <w:b/>
          <w:bCs/>
        </w:rPr>
        <w:t>+</w:t>
      </w:r>
      <w:r w:rsidR="00160934">
        <w:rPr>
          <w:b/>
          <w:bCs/>
        </w:rPr>
        <w:t>1</w:t>
      </w:r>
      <w:r>
        <w:rPr>
          <w:b/>
          <w:bCs/>
        </w:rPr>
        <w:t>5</w:t>
      </w:r>
      <w:r w:rsidRPr="00545B26">
        <w:rPr>
          <w:b/>
          <w:bCs/>
        </w:rPr>
        <w:t xml:space="preserve"> MHz CA with 0 Hz offset from</w:t>
      </w:r>
      <w:r>
        <w:rPr>
          <w:b/>
          <w:bCs/>
        </w:rPr>
        <w:t xml:space="preserve"> the</w:t>
      </w:r>
      <w:r w:rsidRPr="00545B26">
        <w:rPr>
          <w:b/>
          <w:bCs/>
        </w:rPr>
        <w:t xml:space="preserve"> top edge of n7.</w:t>
      </w:r>
    </w:p>
    <w:p w14:paraId="0F8E8209" w14:textId="77777777" w:rsidR="00E73ABB" w:rsidRDefault="00E73ABB" w:rsidP="00447BFD"/>
    <w:p w14:paraId="4FBACFC3" w14:textId="1E76586D" w:rsidR="00593AEE" w:rsidRDefault="000B7337" w:rsidP="00593AEE">
      <w:pPr>
        <w:pStyle w:val="Heading2"/>
      </w:pPr>
      <w:r>
        <w:lastRenderedPageBreak/>
        <w:t>3.</w:t>
      </w:r>
      <w:r w:rsidR="00593AEE">
        <w:t>5</w:t>
      </w:r>
      <w:r w:rsidR="00593AEE" w:rsidRPr="006376BE">
        <w:tab/>
      </w:r>
      <w:r w:rsidR="00593AEE">
        <w:t xml:space="preserve">BW_CA </w:t>
      </w:r>
      <w:r w:rsidR="00EA0331">
        <w:t>≈</w:t>
      </w:r>
      <w:r w:rsidR="00593AEE">
        <w:t xml:space="preserve"> 40 MHz</w:t>
      </w:r>
    </w:p>
    <w:p w14:paraId="5C0BE771" w14:textId="3DD3B174" w:rsidR="00593AEE" w:rsidRDefault="00C90854" w:rsidP="009C21DC">
      <w:pPr>
        <w:jc w:val="right"/>
      </w:pPr>
      <w:r>
        <w:rPr>
          <w:noProof/>
        </w:rPr>
        <w:drawing>
          <wp:inline distT="0" distB="0" distL="0" distR="0" wp14:anchorId="7D4B7A5D" wp14:editId="7824C50A">
            <wp:extent cx="2647950" cy="213614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rot="10800000" flipH="1" flipV="1">
                      <a:off x="0" y="0"/>
                      <a:ext cx="2792357" cy="2252635"/>
                    </a:xfrm>
                    <a:prstGeom prst="rect">
                      <a:avLst/>
                    </a:prstGeom>
                  </pic:spPr>
                </pic:pic>
              </a:graphicData>
            </a:graphic>
          </wp:inline>
        </w:drawing>
      </w:r>
      <w:r w:rsidR="00B90AB3">
        <w:t xml:space="preserve">           </w:t>
      </w:r>
      <w:r w:rsidR="009C21DC">
        <w:rPr>
          <w:noProof/>
        </w:rPr>
        <w:drawing>
          <wp:inline distT="0" distB="0" distL="0" distR="0" wp14:anchorId="79DD1E50" wp14:editId="32E0E1EB">
            <wp:extent cx="2605828" cy="2162175"/>
            <wp:effectExtent l="0" t="0" r="444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48601" cy="2197666"/>
                    </a:xfrm>
                    <a:prstGeom prst="rect">
                      <a:avLst/>
                    </a:prstGeom>
                  </pic:spPr>
                </pic:pic>
              </a:graphicData>
            </a:graphic>
          </wp:inline>
        </w:drawing>
      </w:r>
    </w:p>
    <w:p w14:paraId="2A596A37" w14:textId="2CD3B97D" w:rsidR="00E73ABB" w:rsidRDefault="00E73ABB" w:rsidP="00E73ABB">
      <w:pPr>
        <w:jc w:val="center"/>
        <w:rPr>
          <w:b/>
          <w:bCs/>
        </w:rPr>
      </w:pPr>
      <w:r>
        <w:rPr>
          <w:b/>
          <w:bCs/>
        </w:rPr>
        <w:t>SCFDMA</w:t>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t>OFDM</w:t>
      </w:r>
    </w:p>
    <w:p w14:paraId="517FBF29" w14:textId="77777777" w:rsidR="00E73ABB" w:rsidRDefault="00E73ABB" w:rsidP="00E73ABB">
      <w:pPr>
        <w:jc w:val="center"/>
        <w:rPr>
          <w:b/>
          <w:bCs/>
        </w:rPr>
      </w:pPr>
    </w:p>
    <w:p w14:paraId="455FD71D" w14:textId="72A6C039" w:rsidR="00270309" w:rsidRDefault="00545B26" w:rsidP="00191154">
      <w:pPr>
        <w:jc w:val="center"/>
      </w:pPr>
      <w:r w:rsidRPr="00545B26">
        <w:rPr>
          <w:b/>
          <w:bCs/>
        </w:rPr>
        <w:t xml:space="preserve">Figure </w:t>
      </w:r>
      <w:r w:rsidR="00E73ABB">
        <w:rPr>
          <w:b/>
          <w:bCs/>
        </w:rPr>
        <w:t>5</w:t>
      </w:r>
      <w:r w:rsidRPr="00545B26">
        <w:rPr>
          <w:b/>
          <w:bCs/>
        </w:rPr>
        <w:t>. Total back</w:t>
      </w:r>
      <w:r w:rsidR="00B46626">
        <w:rPr>
          <w:b/>
          <w:bCs/>
        </w:rPr>
        <w:t>-</w:t>
      </w:r>
      <w:r w:rsidRPr="00545B26">
        <w:rPr>
          <w:b/>
          <w:bCs/>
        </w:rPr>
        <w:t>off</w:t>
      </w:r>
      <w:r w:rsidR="00B46626">
        <w:rPr>
          <w:b/>
          <w:bCs/>
        </w:rPr>
        <w:t xml:space="preserve"> </w:t>
      </w:r>
      <w:r w:rsidRPr="00545B26">
        <w:rPr>
          <w:b/>
          <w:bCs/>
        </w:rPr>
        <w:t xml:space="preserve">for </w:t>
      </w:r>
      <w:r w:rsidR="00E73ABB">
        <w:rPr>
          <w:b/>
          <w:bCs/>
        </w:rPr>
        <w:t>2</w:t>
      </w:r>
      <w:r w:rsidRPr="00545B26">
        <w:rPr>
          <w:b/>
          <w:bCs/>
        </w:rPr>
        <w:t>0+</w:t>
      </w:r>
      <w:r w:rsidR="00E73ABB">
        <w:rPr>
          <w:b/>
          <w:bCs/>
        </w:rPr>
        <w:t>2</w:t>
      </w:r>
      <w:r w:rsidRPr="00545B26">
        <w:rPr>
          <w:b/>
          <w:bCs/>
        </w:rPr>
        <w:t>0 MHz CA with 0 Hz offset from</w:t>
      </w:r>
      <w:r>
        <w:rPr>
          <w:b/>
          <w:bCs/>
        </w:rPr>
        <w:t xml:space="preserve"> the</w:t>
      </w:r>
      <w:r w:rsidRPr="00545B26">
        <w:rPr>
          <w:b/>
          <w:bCs/>
        </w:rPr>
        <w:t xml:space="preserve"> top edge of n7.</w:t>
      </w:r>
    </w:p>
    <w:p w14:paraId="01168D19" w14:textId="24046467" w:rsidR="00593AEE" w:rsidRDefault="000B7337" w:rsidP="00593AEE">
      <w:pPr>
        <w:pStyle w:val="Heading2"/>
      </w:pPr>
      <w:r>
        <w:t>3.</w:t>
      </w:r>
      <w:r w:rsidR="00593AEE">
        <w:t>6</w:t>
      </w:r>
      <w:r w:rsidR="00593AEE" w:rsidRPr="006376BE">
        <w:tab/>
      </w:r>
      <w:r w:rsidR="00593AEE">
        <w:t xml:space="preserve">BW_CA </w:t>
      </w:r>
      <w:r w:rsidR="00EA0331">
        <w:t>≈</w:t>
      </w:r>
      <w:r w:rsidR="00593AEE">
        <w:t xml:space="preserve"> </w:t>
      </w:r>
      <w:r w:rsidR="00F64C78">
        <w:t>50</w:t>
      </w:r>
      <w:r w:rsidR="00593AEE">
        <w:t xml:space="preserve"> MHz</w:t>
      </w:r>
    </w:p>
    <w:p w14:paraId="74E49AE1" w14:textId="1F37C7F1" w:rsidR="00593AEE" w:rsidRDefault="00413BBB" w:rsidP="00497F3F">
      <w:r>
        <w:rPr>
          <w:noProof/>
        </w:rPr>
        <mc:AlternateContent>
          <mc:Choice Requires="wps">
            <w:drawing>
              <wp:anchor distT="0" distB="0" distL="114300" distR="114300" simplePos="0" relativeHeight="251659264" behindDoc="0" locked="0" layoutInCell="1" allowOverlap="1" wp14:anchorId="00F9CBE6" wp14:editId="48DD181A">
                <wp:simplePos x="0" y="0"/>
                <wp:positionH relativeFrom="column">
                  <wp:posOffset>5123180</wp:posOffset>
                </wp:positionH>
                <wp:positionV relativeFrom="paragraph">
                  <wp:posOffset>1539875</wp:posOffset>
                </wp:positionV>
                <wp:extent cx="0" cy="419880"/>
                <wp:effectExtent l="0" t="0" r="38100" b="18415"/>
                <wp:wrapNone/>
                <wp:docPr id="11" name="Straight Connector 11"/>
                <wp:cNvGraphicFramePr/>
                <a:graphic xmlns:a="http://schemas.openxmlformats.org/drawingml/2006/main">
                  <a:graphicData uri="http://schemas.microsoft.com/office/word/2010/wordprocessingShape">
                    <wps:wsp>
                      <wps:cNvCnPr/>
                      <wps:spPr>
                        <a:xfrm flipH="1" flipV="1">
                          <a:off x="0" y="0"/>
                          <a:ext cx="0" cy="4198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63BD4F" id="Straight Connector 11" o:spid="_x0000_s1026" style="position:absolute;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3.4pt,121.25pt" to="403.4pt,15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Jd5wwEAAMwDAAAOAAAAZHJzL2Uyb0RvYy54bWysU02PEzEMvSPxH6Lc6UxXCJVRp3voCjgg&#10;qFjgns0knYgkjpzQj3+P42kHxIeEVnuJnMTv2e/FWd+eghcHg9lB7OVy0UphoobBxX0vv3x+82Il&#10;RS4qDspDNL08myxvN8+frY+pMzcwgh8MCiKJuTumXo6lpK5psh5NUHkByUS6tIBBFdrivhlQHYk9&#10;+OambV81R8AhIWiTM53eTZdyw/zWGl0+WptNEb6X1FvhFXl9qGuzWatujyqNTl/aUI/oIigXqehM&#10;daeKEt/R/UEVnEbIYMtCQ2jAWqcNayA1y/Y3NfejSoa1kDk5zTblp6PVHw47FG6gt1tKEVWgN7ov&#10;qNx+LGILMZKDgIIuyaljyh0BtnGHl11OO6yyTxaDsN6ld0QkOfpao3pHIsWJHT/PjptTEXo61HT6&#10;cvl6teLHaCauikuYy1sDQdSgl97F6oXq1OF9LlSfUq8ptKm9Td1wVM7e1GQfPxlL+qjW1A1Pltl6&#10;FAdFMzF8Y2XExZkVYp33M6jlkv8EXXIrzPC0/S9wzuaKEMsMDC4C/q1qOV1btVP+VfWktcp+gOHM&#10;b8N20MiwS5fxrjP5657hPz/h5gcAAAD//wMAUEsDBBQABgAIAAAAIQC3JlYD4AAAAAsBAAAPAAAA&#10;ZHJzL2Rvd25yZXYueG1sTI9BT4NAEIXvJv6HzZh4s7uiEqQMjZp40NiDbQ89LjAFUnYW2YXSf+8a&#10;D3qcNy/vfS9bzaYTEw2utYxwu1AgiEtbtVwj7LavNwkI5zVXurNMCGdysMovLzKdVvbEnzRtfC1C&#10;CLtUIzTe96mUrmzIaLewPXH4HexgtA/nUMtq0KcQbjoZKRVLo1sODY3u6aWh8rgZDcJj8Tz3Ur3v&#10;1cd5v33bTXp9GL8Qr6/mpyUIT7P/M8MPfkCHPDAVduTKiQ4hUXFA9wjRffQAIjh+lQLhTiUxyDyT&#10;/zfk3wAAAP//AwBQSwECLQAUAAYACAAAACEAtoM4kv4AAADhAQAAEwAAAAAAAAAAAAAAAAAAAAAA&#10;W0NvbnRlbnRfVHlwZXNdLnhtbFBLAQItABQABgAIAAAAIQA4/SH/1gAAAJQBAAALAAAAAAAAAAAA&#10;AAAAAC8BAABfcmVscy8ucmVsc1BLAQItABQABgAIAAAAIQAo8Jd5wwEAAMwDAAAOAAAAAAAAAAAA&#10;AAAAAC4CAABkcnMvZTJvRG9jLnhtbFBLAQItABQABgAIAAAAIQC3JlYD4AAAAAsBAAAPAAAAAAAA&#10;AAAAAAAAAB0EAABkcnMvZG93bnJldi54bWxQSwUGAAAAAAQABADzAAAAKgUAAAAA&#10;" strokecolor="black [3200]" strokeweight=".5pt">
                <v:stroke joinstyle="miter"/>
              </v:line>
            </w:pict>
          </mc:Fallback>
        </mc:AlternateContent>
      </w:r>
      <w:r>
        <w:rPr>
          <w:noProof/>
        </w:rPr>
        <mc:AlternateContent>
          <mc:Choice Requires="wps">
            <w:drawing>
              <wp:anchor distT="0" distB="0" distL="114300" distR="114300" simplePos="0" relativeHeight="251665408" behindDoc="0" locked="0" layoutInCell="1" allowOverlap="1" wp14:anchorId="130D3AFA" wp14:editId="63E772DC">
                <wp:simplePos x="0" y="0"/>
                <wp:positionH relativeFrom="column">
                  <wp:posOffset>5125085</wp:posOffset>
                </wp:positionH>
                <wp:positionV relativeFrom="paragraph">
                  <wp:posOffset>481330</wp:posOffset>
                </wp:positionV>
                <wp:extent cx="17145" cy="1073785"/>
                <wp:effectExtent l="0" t="0" r="20955" b="12065"/>
                <wp:wrapNone/>
                <wp:docPr id="14" name="Straight Connector 14"/>
                <wp:cNvGraphicFramePr/>
                <a:graphic xmlns:a="http://schemas.openxmlformats.org/drawingml/2006/main">
                  <a:graphicData uri="http://schemas.microsoft.com/office/word/2010/wordprocessingShape">
                    <wps:wsp>
                      <wps:cNvCnPr/>
                      <wps:spPr>
                        <a:xfrm flipV="1">
                          <a:off x="0" y="0"/>
                          <a:ext cx="17145" cy="10737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9FF163" id="Straight Connector 14"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3.55pt,37.9pt" to="404.9pt,1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k+wgEAAMcDAAAOAAAAZHJzL2Uyb0RvYy54bWysU8GO0zAQvSPxD5bvNMmyS1dR0z10BRcE&#10;FQvcvY7dWNgea2ya9O8ZO21AgNBqxcWyPfPezHseb+4mZ9lRYTTgO96sas6Ul9Abf+j4l89vX91y&#10;FpPwvbDgVcdPKvK77csXmzG06goGsL1CRiQ+tmPo+JBSaKsqykE5EVcQlKegBnQi0REPVY9iJHZn&#10;q6u6flONgH1AkCpGur2fg3xb+LVWMn3UOqrEbMept1RWLOtjXqvtRrQHFGEw8tyGeEYXThhPRReq&#10;e5EE+47mDypnJEIEnVYSXAVaG6mKBlLT1L+peRhEUEULmRPDYlP8f7Tyw3GPzPT0dteceeHojR4S&#10;CnMYEtuB9+QgIKMgOTWG2BJg5/d4PsWwxyx70uiYtiZ8JaJiBEljU/H5tPispsQkXTbr5vqGM0mR&#10;pl6/Xt/eZPZqpsl0AWN6p8CxvOm4NT7bIFpxfB/TnHpJIVxua26k7NLJqpxs/SelSVouWNBlqNTO&#10;IjsKGof+W3MuWzIzRBtrF1D9b9A5N8NUGbSnApfsUhF8WoDOeMC/VU3TpVU9519Uz1qz7EfoT+VZ&#10;ih00LcXQ82Tncfz1XOA//9/2BwAAAP//AwBQSwMEFAAGAAgAAAAhAMLtWmTdAAAACgEAAA8AAABk&#10;cnMvZG93bnJldi54bWxMj8FuwjAMhu+TeIfIk3YbCYjS0jVFDGnaecCFW9p4bbXGKU2A7u3nnbab&#10;LX/6/f3FdnK9uOEYOk8aFnMFAqn2tqNGw+n49pyBCNGQNb0n1PCNAbbl7KEwufV3+sDbITaCQyjk&#10;RkMb45BLGeoWnQlzPyDx7dOPzkRex0ba0dw53PVyqdRaOtMRf2jNgPsW66/D1Wk4vjs1VbHbI11S&#10;tTu/Jms6J1o/PU67FxARp/gHw68+q0PJTpW/kg2i15CpdMGohjThCgxkasNDpWG5Wm1AloX8X6H8&#10;AQAA//8DAFBLAQItABQABgAIAAAAIQC2gziS/gAAAOEBAAATAAAAAAAAAAAAAAAAAAAAAABbQ29u&#10;dGVudF9UeXBlc10ueG1sUEsBAi0AFAAGAAgAAAAhADj9If/WAAAAlAEAAAsAAAAAAAAAAAAAAAAA&#10;LwEAAF9yZWxzLy5yZWxzUEsBAi0AFAAGAAgAAAAhAKhn6T7CAQAAxwMAAA4AAAAAAAAAAAAAAAAA&#10;LgIAAGRycy9lMm9Eb2MueG1sUEsBAi0AFAAGAAgAAAAhAMLtWmTdAAAACgEAAA8AAAAAAAAAAAAA&#10;AAAAHAQAAGRycy9kb3ducmV2LnhtbFBLBQYAAAAABAAEAPMAAAAmBQAAAAA=&#10;" strokecolor="black [3200]" strokeweight=".5pt">
                <v:stroke joinstyle="miter"/>
              </v:line>
            </w:pict>
          </mc:Fallback>
        </mc:AlternateContent>
      </w:r>
      <w:r>
        <w:rPr>
          <w:noProof/>
        </w:rPr>
        <mc:AlternateContent>
          <mc:Choice Requires="wps">
            <w:drawing>
              <wp:anchor distT="0" distB="0" distL="114300" distR="114300" simplePos="0" relativeHeight="251661312" behindDoc="0" locked="0" layoutInCell="1" allowOverlap="1" wp14:anchorId="48142F24" wp14:editId="7FEECDD7">
                <wp:simplePos x="0" y="0"/>
                <wp:positionH relativeFrom="column">
                  <wp:posOffset>4366260</wp:posOffset>
                </wp:positionH>
                <wp:positionV relativeFrom="paragraph">
                  <wp:posOffset>1560194</wp:posOffset>
                </wp:positionV>
                <wp:extent cx="704850" cy="9525"/>
                <wp:effectExtent l="0" t="0" r="19050" b="28575"/>
                <wp:wrapNone/>
                <wp:docPr id="12" name="Straight Connector 12"/>
                <wp:cNvGraphicFramePr/>
                <a:graphic xmlns:a="http://schemas.openxmlformats.org/drawingml/2006/main">
                  <a:graphicData uri="http://schemas.microsoft.com/office/word/2010/wordprocessingShape">
                    <wps:wsp>
                      <wps:cNvCnPr/>
                      <wps:spPr>
                        <a:xfrm flipH="1" flipV="1">
                          <a:off x="0" y="0"/>
                          <a:ext cx="7048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DC11F5" id="Straight Connector 12" o:spid="_x0000_s1026" style="position:absolute;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3.8pt,122.85pt" to="399.3pt,1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W7MxgEAAM8DAAAOAAAAZHJzL2Uyb0RvYy54bWysU02P0zAQvSPxHyzfadKKwhI13UNXwAFB&#10;xS7cvc64sfCXxqZJ/z1jJw2IDwkhLtY4M+/NvOfJ7na0hp0Bo/au5etVzRk46TvtTi3/9PD62Q1n&#10;MQnXCeMdtPwCkd/unz7ZDaGBje+96QAZkbjYDKHlfUqhqaooe7AirnwAR0nl0YpEVzxVHYqB2K2p&#10;NnX9oho8dgG9hBjp692U5PvCrxTI9EGpCImZltNsqZxYzsd8VvudaE4oQq/lPIb4hyms0I6aLlR3&#10;Ign2FfUvVFZL9NGrtJLeVl4pLaFoIDXr+ic1970IULSQOTEsNsX/Ryvfn4/IdEdvt+HMCUtvdJ9Q&#10;6FOf2ME7Rw56ZJQkp4YQGwIc3BHnWwxHzLJHhZYpo8NbIuIl+pyjnCORbCyOXxbHYUxM0seX9fOb&#10;Lb2LpNSr7Wabu1QTXYYGjOkNeMty0HKjXbZDNOL8Lqap9FpCuDzeNFCJ0sVALjbuIyiSSO2mgcpy&#10;wcEgOwtai+7Lem5bKjNEaWMWUF1a/hE012YYlIX7W+BSXTp6lxag1c7j77qm8TqqmuqvqietWfaj&#10;7y7leYodtDXF0HnD81r+eC/w7//h/hsAAAD//wMAUEsDBBQABgAIAAAAIQB0W7HL4QAAAAsBAAAP&#10;AAAAZHJzL2Rvd25yZXYueG1sTI+xTsMwEIZ3JN7BOiQ2ajeCJA1xKkBiAMFA26HjJXaTqLEdYidN&#10;357rVMb779N/3+Xr2XRs0oNvnZWwXAhg2lZOtbaWsNu+P6TAfECrsHNWSzhrD+vi9ibHTLmT/dHT&#10;JtSMSqzPUEITQp9x7qtGG/QL12tLu4MbDAYah5qrAU9UbjoeCRFzg62lCw32+q3R1XEzGgmr8nXu&#10;ufjci6/zfvuxm/D7MP5KeX83vzwDC3oOVxgu+qQOBTmVbrTKs05CnCYxoRKix6cEGBHJKqWkvCRJ&#10;BLzI+f8fij8AAAD//wMAUEsBAi0AFAAGAAgAAAAhALaDOJL+AAAA4QEAABMAAAAAAAAAAAAAAAAA&#10;AAAAAFtDb250ZW50X1R5cGVzXS54bWxQSwECLQAUAAYACAAAACEAOP0h/9YAAACUAQAACwAAAAAA&#10;AAAAAAAAAAAvAQAAX3JlbHMvLnJlbHNQSwECLQAUAAYACAAAACEAiUFuzMYBAADPAwAADgAAAAAA&#10;AAAAAAAAAAAuAgAAZHJzL2Uyb0RvYy54bWxQSwECLQAUAAYACAAAACEAdFuxy+EAAAALAQAADwAA&#10;AAAAAAAAAAAAAAAgBAAAZHJzL2Rvd25yZXYueG1sUEsFBgAAAAAEAAQA8wAAAC4FAAAAAA==&#10;" strokecolor="black [3200]" strokeweight=".5pt">
                <v:stroke joinstyle="miter"/>
              </v:line>
            </w:pict>
          </mc:Fallback>
        </mc:AlternateContent>
      </w:r>
      <w:r w:rsidR="00D10205">
        <w:rPr>
          <w:noProof/>
        </w:rPr>
        <mc:AlternateContent>
          <mc:Choice Requires="wps">
            <w:drawing>
              <wp:anchor distT="0" distB="0" distL="114300" distR="114300" simplePos="0" relativeHeight="251663360" behindDoc="0" locked="0" layoutInCell="1" allowOverlap="1" wp14:anchorId="31AF0732" wp14:editId="3CCDFAE6">
                <wp:simplePos x="0" y="0"/>
                <wp:positionH relativeFrom="column">
                  <wp:posOffset>3870325</wp:posOffset>
                </wp:positionH>
                <wp:positionV relativeFrom="paragraph">
                  <wp:posOffset>1571943</wp:posOffset>
                </wp:positionV>
                <wp:extent cx="490538" cy="393383"/>
                <wp:effectExtent l="0" t="0" r="24130" b="26035"/>
                <wp:wrapNone/>
                <wp:docPr id="13" name="Straight Connector 13"/>
                <wp:cNvGraphicFramePr/>
                <a:graphic xmlns:a="http://schemas.openxmlformats.org/drawingml/2006/main">
                  <a:graphicData uri="http://schemas.microsoft.com/office/word/2010/wordprocessingShape">
                    <wps:wsp>
                      <wps:cNvCnPr/>
                      <wps:spPr>
                        <a:xfrm flipH="1">
                          <a:off x="0" y="0"/>
                          <a:ext cx="490538" cy="39338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00FF34" id="Straight Connector 13"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4.75pt,123.8pt" to="343.4pt,15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HXBxgEAAMcDAAAOAAAAZHJzL2Uyb0RvYy54bWysU02P0zAQvSPxHyzfadINoN2o6R66Ag4I&#10;KhZ+gNexGwvbY41Nk/57xk4bVnxIqxUXK+OZ92be82RzOznLjgqjAd/x9armTHkJvfGHjn/7+u7V&#10;NWcxCd8LC151/KQiv92+fLEZQ6uuYADbK2RE4mM7ho4PKYW2qqIclBNxBUF5SmpAJxKFeKh6FCOx&#10;O1td1fXbagTsA4JUMdLt3Zzk28KvtZLps9ZRJWY7TrOlcmI5H/JZbTeiPaAIg5HnMcQzpnDCeGq6&#10;UN2JJNgPNH9QOSMRIui0kuAq0NpIVTSQmnX9m5r7QQRVtJA5MSw2xf9HKz8d98hMT2/XcOaFoze6&#10;TyjMYUhsB96Tg4CMkuTUGGJLgJ3f4zmKYY9Z9qTRMW1N+EBExQiSxqbi82nxWU2JSbp8fVO/aWgx&#10;JKWam6a5LuzVTJPpAsb0XoFj+aPj1vhsg2jF8WNM1JpKLyUU5LHmQcpXOlmVi63/ojRJo4bzSGWp&#10;1M4iOwpah/77OosirlKZIdpYu4Dq0vKfoHNthqmyaE8FLtWlI/i0AJ3xgH/rmqbLqHquv6ietWbZ&#10;D9CfyrMUO2hbirLzZud1fBwX+K//b/sTAAD//wMAUEsDBBQABgAIAAAAIQCMvHuB3gAAAAsBAAAP&#10;AAAAZHJzL2Rvd25yZXYueG1sTI/BTsMwEETvSPyDtUjcqE0hbptmU5VKiDMtl96ceJtExOsQu234&#10;e8wJjqt9mnlTbCbXiwuNofOM8DhTIIhrbztuED4Orw9LECEatqb3TAjfFGBT3t4UJrf+yu902cdG&#10;pBAOuUFoYxxyKUPdkjNh5gfi9Dv50ZmYzrGRdjTXFO56OVdKS2c6Tg2tGWjXUv25PzuEw5tTUxW7&#10;HfHXQm2PL5nmY4Z4fzdt1yAiTfEPhl/9pA5lcqr8mW0QPYJWqyyhCPPnhQaRCL3UaUyF8KRWGmRZ&#10;yP8byh8AAAD//wMAUEsBAi0AFAAGAAgAAAAhALaDOJL+AAAA4QEAABMAAAAAAAAAAAAAAAAAAAAA&#10;AFtDb250ZW50X1R5cGVzXS54bWxQSwECLQAUAAYACAAAACEAOP0h/9YAAACUAQAACwAAAAAAAAAA&#10;AAAAAAAvAQAAX3JlbHMvLnJlbHNQSwECLQAUAAYACAAAACEAcdx1wcYBAADHAwAADgAAAAAAAAAA&#10;AAAAAAAuAgAAZHJzL2Uyb0RvYy54bWxQSwECLQAUAAYACAAAACEAjLx7gd4AAAALAQAADwAAAAAA&#10;AAAAAAAAAAAgBAAAZHJzL2Rvd25yZXYueG1sUEsFBgAAAAAEAAQA8wAAACsFAAAAAA==&#10;" strokecolor="black [3200]" strokeweight=".5pt">
                <v:stroke joinstyle="miter"/>
              </v:line>
            </w:pict>
          </mc:Fallback>
        </mc:AlternateContent>
      </w:r>
      <w:r w:rsidR="003738A1">
        <w:rPr>
          <w:noProof/>
        </w:rPr>
        <w:t xml:space="preserve">               </w:t>
      </w:r>
      <w:r w:rsidR="007F059A">
        <w:rPr>
          <w:noProof/>
        </w:rPr>
        <w:drawing>
          <wp:inline distT="0" distB="0" distL="0" distR="0" wp14:anchorId="1A02B2AD" wp14:editId="15E957AC">
            <wp:extent cx="2447925" cy="2207260"/>
            <wp:effectExtent l="0" t="0" r="952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541619" cy="2291743"/>
                    </a:xfrm>
                    <a:prstGeom prst="rect">
                      <a:avLst/>
                    </a:prstGeom>
                  </pic:spPr>
                </pic:pic>
              </a:graphicData>
            </a:graphic>
          </wp:inline>
        </w:drawing>
      </w:r>
      <w:r w:rsidR="00497F3F">
        <w:rPr>
          <w:noProof/>
        </w:rPr>
        <w:t xml:space="preserve">        </w:t>
      </w:r>
      <w:r w:rsidR="00497F3F" w:rsidRPr="00497F3F">
        <w:rPr>
          <w:noProof/>
        </w:rPr>
        <w:t xml:space="preserve"> </w:t>
      </w:r>
      <w:r w:rsidR="00F91C80">
        <w:rPr>
          <w:noProof/>
        </w:rPr>
        <w:drawing>
          <wp:inline distT="0" distB="0" distL="0" distR="0" wp14:anchorId="795AFAE8" wp14:editId="2A195AE7">
            <wp:extent cx="2532380" cy="2199386"/>
            <wp:effectExtent l="0" t="0" r="127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583466" cy="2243755"/>
                    </a:xfrm>
                    <a:prstGeom prst="rect">
                      <a:avLst/>
                    </a:prstGeom>
                  </pic:spPr>
                </pic:pic>
              </a:graphicData>
            </a:graphic>
          </wp:inline>
        </w:drawing>
      </w:r>
    </w:p>
    <w:p w14:paraId="6EA6ACAB" w14:textId="1E633759" w:rsidR="00D207AE" w:rsidRPr="00D207AE" w:rsidRDefault="003738A1" w:rsidP="00497F3F">
      <w:pPr>
        <w:ind w:left="1420" w:firstLine="284"/>
        <w:rPr>
          <w:b/>
          <w:bCs/>
        </w:rPr>
      </w:pPr>
      <w:r>
        <w:rPr>
          <w:b/>
          <w:bCs/>
        </w:rPr>
        <w:t xml:space="preserve">         </w:t>
      </w:r>
      <w:r w:rsidR="00D207AE" w:rsidRPr="00D207AE">
        <w:rPr>
          <w:b/>
          <w:bCs/>
        </w:rPr>
        <w:t>SCFDMA</w:t>
      </w:r>
      <w:r w:rsidR="00497F3F">
        <w:rPr>
          <w:b/>
          <w:bCs/>
        </w:rPr>
        <w:tab/>
      </w:r>
      <w:r w:rsidR="00497F3F">
        <w:rPr>
          <w:b/>
          <w:bCs/>
        </w:rPr>
        <w:tab/>
      </w:r>
      <w:r w:rsidR="00497F3F">
        <w:rPr>
          <w:b/>
          <w:bCs/>
        </w:rPr>
        <w:tab/>
      </w:r>
      <w:r w:rsidR="00497F3F">
        <w:rPr>
          <w:b/>
          <w:bCs/>
        </w:rPr>
        <w:tab/>
      </w:r>
      <w:r w:rsidR="00497F3F">
        <w:rPr>
          <w:b/>
          <w:bCs/>
        </w:rPr>
        <w:tab/>
      </w:r>
      <w:r w:rsidR="00497F3F">
        <w:rPr>
          <w:b/>
          <w:bCs/>
        </w:rPr>
        <w:tab/>
      </w:r>
      <w:r w:rsidR="00497F3F">
        <w:rPr>
          <w:b/>
          <w:bCs/>
        </w:rPr>
        <w:tab/>
      </w:r>
      <w:r w:rsidR="00497F3F">
        <w:rPr>
          <w:b/>
          <w:bCs/>
        </w:rPr>
        <w:tab/>
      </w:r>
      <w:r w:rsidR="00497F3F">
        <w:rPr>
          <w:b/>
          <w:bCs/>
        </w:rPr>
        <w:tab/>
      </w:r>
      <w:r w:rsidR="00497F3F">
        <w:rPr>
          <w:b/>
          <w:bCs/>
        </w:rPr>
        <w:tab/>
      </w:r>
      <w:r w:rsidR="00497F3F">
        <w:rPr>
          <w:b/>
          <w:bCs/>
        </w:rPr>
        <w:tab/>
      </w:r>
      <w:r w:rsidR="00497F3F">
        <w:rPr>
          <w:b/>
          <w:bCs/>
        </w:rPr>
        <w:tab/>
      </w:r>
      <w:r>
        <w:rPr>
          <w:b/>
          <w:bCs/>
        </w:rPr>
        <w:t xml:space="preserve">            </w:t>
      </w:r>
      <w:r w:rsidR="00D10205">
        <w:rPr>
          <w:b/>
          <w:bCs/>
        </w:rPr>
        <w:t xml:space="preserve"> </w:t>
      </w:r>
      <w:r w:rsidR="00497F3F">
        <w:rPr>
          <w:b/>
          <w:bCs/>
        </w:rPr>
        <w:t>OFDM</w:t>
      </w:r>
    </w:p>
    <w:p w14:paraId="4FA0990C" w14:textId="4200C6CB" w:rsidR="00270309" w:rsidRDefault="00545B26" w:rsidP="00545B26">
      <w:pPr>
        <w:jc w:val="center"/>
      </w:pPr>
      <w:r w:rsidRPr="00545B26">
        <w:rPr>
          <w:b/>
          <w:bCs/>
        </w:rPr>
        <w:t xml:space="preserve">Figure </w:t>
      </w:r>
      <w:r w:rsidR="00D207AE">
        <w:rPr>
          <w:b/>
          <w:bCs/>
        </w:rPr>
        <w:t>6</w:t>
      </w:r>
      <w:r w:rsidRPr="00545B26">
        <w:rPr>
          <w:b/>
          <w:bCs/>
        </w:rPr>
        <w:t>. Total back</w:t>
      </w:r>
      <w:r w:rsidR="00B46626">
        <w:rPr>
          <w:b/>
          <w:bCs/>
        </w:rPr>
        <w:t>-</w:t>
      </w:r>
      <w:r w:rsidRPr="00545B26">
        <w:rPr>
          <w:b/>
          <w:bCs/>
        </w:rPr>
        <w:t xml:space="preserve">off for </w:t>
      </w:r>
      <w:r w:rsidR="00D207AE">
        <w:rPr>
          <w:b/>
          <w:bCs/>
        </w:rPr>
        <w:t>30</w:t>
      </w:r>
      <w:r w:rsidRPr="00545B26">
        <w:rPr>
          <w:b/>
          <w:bCs/>
        </w:rPr>
        <w:t>+</w:t>
      </w:r>
      <w:r w:rsidR="00D207AE">
        <w:rPr>
          <w:b/>
          <w:bCs/>
        </w:rPr>
        <w:t>2</w:t>
      </w:r>
      <w:r w:rsidRPr="00545B26">
        <w:rPr>
          <w:b/>
          <w:bCs/>
        </w:rPr>
        <w:t>0 MHz CA with 0 Hz offset from</w:t>
      </w:r>
      <w:r>
        <w:rPr>
          <w:b/>
          <w:bCs/>
        </w:rPr>
        <w:t xml:space="preserve"> the</w:t>
      </w:r>
      <w:r w:rsidRPr="00545B26">
        <w:rPr>
          <w:b/>
          <w:bCs/>
        </w:rPr>
        <w:t xml:space="preserve"> top edge of n7.</w:t>
      </w:r>
    </w:p>
    <w:p w14:paraId="04953AC6" w14:textId="77777777" w:rsidR="000B7337" w:rsidRDefault="000B7337" w:rsidP="00E355CC">
      <w:pPr>
        <w:rPr>
          <w:b/>
          <w:bCs/>
          <w:i/>
          <w:iCs/>
        </w:rPr>
      </w:pPr>
    </w:p>
    <w:p w14:paraId="22F0EDE4" w14:textId="43D84321" w:rsidR="00E355CC" w:rsidRDefault="00E355CC" w:rsidP="00E355CC">
      <w:pPr>
        <w:rPr>
          <w:i/>
          <w:iCs/>
        </w:rPr>
      </w:pPr>
      <w:r w:rsidRPr="00E355CC">
        <w:rPr>
          <w:b/>
          <w:bCs/>
          <w:i/>
          <w:iCs/>
        </w:rPr>
        <w:t xml:space="preserve">Observation 1: </w:t>
      </w:r>
      <w:r w:rsidRPr="00E355CC">
        <w:rPr>
          <w:i/>
          <w:iCs/>
        </w:rPr>
        <w:t xml:space="preserve">Needed AMPR </w:t>
      </w:r>
      <w:r>
        <w:rPr>
          <w:i/>
          <w:iCs/>
        </w:rPr>
        <w:t xml:space="preserve">for contiguous allocations </w:t>
      </w:r>
      <w:r w:rsidRPr="00E355CC">
        <w:rPr>
          <w:i/>
          <w:iCs/>
        </w:rPr>
        <w:t>varies</w:t>
      </w:r>
      <w:r w:rsidR="00C74380">
        <w:rPr>
          <w:i/>
          <w:iCs/>
        </w:rPr>
        <w:t xml:space="preserve"> approximately</w:t>
      </w:r>
      <w:r w:rsidRPr="00E355CC">
        <w:rPr>
          <w:i/>
          <w:iCs/>
        </w:rPr>
        <w:t xml:space="preserve"> according to the overall BW_CA, independent of the constituent bandwidths.</w:t>
      </w:r>
    </w:p>
    <w:p w14:paraId="5A943376" w14:textId="408E824E" w:rsidR="00F923D4" w:rsidRDefault="00F923D4" w:rsidP="00E355CC">
      <w:pPr>
        <w:rPr>
          <w:i/>
          <w:iCs/>
        </w:rPr>
      </w:pPr>
    </w:p>
    <w:p w14:paraId="13163D0F" w14:textId="573116C2" w:rsidR="00F923D4" w:rsidRDefault="00F923D4" w:rsidP="00E355CC">
      <w:pPr>
        <w:rPr>
          <w:i/>
          <w:iCs/>
        </w:rPr>
      </w:pPr>
    </w:p>
    <w:p w14:paraId="1142E4B3" w14:textId="77777777" w:rsidR="00F923D4" w:rsidRPr="00E355CC" w:rsidRDefault="00F923D4" w:rsidP="00E355CC">
      <w:pPr>
        <w:rPr>
          <w:i/>
          <w:iCs/>
        </w:rPr>
      </w:pPr>
    </w:p>
    <w:p w14:paraId="2D1CF2F6" w14:textId="4AA199A3" w:rsidR="00270309" w:rsidRDefault="00270309" w:rsidP="006531E4"/>
    <w:p w14:paraId="40BFB8B2" w14:textId="7B8A757B" w:rsidR="00270309" w:rsidRDefault="000B7337" w:rsidP="00453E8D">
      <w:pPr>
        <w:pStyle w:val="Heading1"/>
        <w:pBdr>
          <w:top w:val="single" w:sz="12" w:space="0" w:color="auto"/>
        </w:pBdr>
      </w:pPr>
      <w:r>
        <w:lastRenderedPageBreak/>
        <w:t>4</w:t>
      </w:r>
      <w:r w:rsidR="00270309">
        <w:tab/>
        <w:t>A-MPR Results for Non-Contiguous Allocations</w:t>
      </w:r>
    </w:p>
    <w:p w14:paraId="14A80DA6" w14:textId="7D9645FB" w:rsidR="00270309" w:rsidRDefault="000B7337" w:rsidP="00270309">
      <w:pPr>
        <w:pStyle w:val="Heading2"/>
      </w:pPr>
      <w:r>
        <w:t>4.</w:t>
      </w:r>
      <w:r w:rsidR="00270309" w:rsidRPr="006376BE">
        <w:t>1</w:t>
      </w:r>
      <w:r w:rsidR="00270309" w:rsidRPr="006376BE">
        <w:tab/>
      </w:r>
      <w:r w:rsidR="00270309">
        <w:t xml:space="preserve">BW_CA </w:t>
      </w:r>
      <w:r w:rsidR="00EA0331">
        <w:t>≈</w:t>
      </w:r>
      <w:r w:rsidR="00270309">
        <w:t xml:space="preserve"> </w:t>
      </w:r>
      <w:r w:rsidR="00E51A3F">
        <w:t>20,</w:t>
      </w:r>
      <w:r w:rsidR="008B02DA">
        <w:t>4</w:t>
      </w:r>
      <w:r w:rsidR="00270309">
        <w:t>0</w:t>
      </w:r>
      <w:r w:rsidR="00E51A3F">
        <w:t xml:space="preserve"> and 50</w:t>
      </w:r>
      <w:r w:rsidR="00270309">
        <w:t xml:space="preserve"> MHz</w:t>
      </w:r>
    </w:p>
    <w:p w14:paraId="0907B8F4" w14:textId="6825F477" w:rsidR="00FA2529" w:rsidRDefault="00FA2529" w:rsidP="00FA2529"/>
    <w:p w14:paraId="132055B3" w14:textId="36CE7D50" w:rsidR="00FA2529" w:rsidRDefault="005026F9" w:rsidP="00377750">
      <w:pPr>
        <w:rPr>
          <w:noProof/>
        </w:rPr>
      </w:pPr>
      <w:r>
        <w:rPr>
          <w:noProof/>
        </w:rPr>
        <w:drawing>
          <wp:inline distT="0" distB="0" distL="0" distR="0" wp14:anchorId="703EE8AA" wp14:editId="6A8510A7">
            <wp:extent cx="2652395" cy="216014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72834" cy="2176787"/>
                    </a:xfrm>
                    <a:prstGeom prst="rect">
                      <a:avLst/>
                    </a:prstGeom>
                  </pic:spPr>
                </pic:pic>
              </a:graphicData>
            </a:graphic>
          </wp:inline>
        </w:drawing>
      </w:r>
      <w:r w:rsidR="00C4459C">
        <w:rPr>
          <w:noProof/>
        </w:rPr>
        <w:t xml:space="preserve">  </w:t>
      </w:r>
      <w:r w:rsidR="00377750">
        <w:rPr>
          <w:noProof/>
        </w:rPr>
        <w:t xml:space="preserve">     </w:t>
      </w:r>
      <w:r w:rsidR="00C4459C">
        <w:rPr>
          <w:noProof/>
        </w:rPr>
        <w:t xml:space="preserve">   </w:t>
      </w:r>
      <w:r w:rsidR="00D01028">
        <w:rPr>
          <w:noProof/>
        </w:rPr>
        <w:drawing>
          <wp:inline distT="0" distB="0" distL="0" distR="0" wp14:anchorId="11A51C1D" wp14:editId="2DB75CCC">
            <wp:extent cx="2623185" cy="2164490"/>
            <wp:effectExtent l="0" t="0" r="571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673905" cy="2206341"/>
                    </a:xfrm>
                    <a:prstGeom prst="rect">
                      <a:avLst/>
                    </a:prstGeom>
                  </pic:spPr>
                </pic:pic>
              </a:graphicData>
            </a:graphic>
          </wp:inline>
        </w:drawing>
      </w:r>
    </w:p>
    <w:p w14:paraId="06A3438F" w14:textId="57ECA269" w:rsidR="00B41A44" w:rsidRDefault="00B41A44" w:rsidP="00E56C1E">
      <w:pPr>
        <w:rPr>
          <w:b/>
          <w:bCs/>
        </w:rPr>
      </w:pPr>
      <w:r w:rsidRPr="00545B26">
        <w:rPr>
          <w:b/>
          <w:bCs/>
        </w:rPr>
        <w:t xml:space="preserve">Fig </w:t>
      </w:r>
      <w:r>
        <w:rPr>
          <w:b/>
          <w:bCs/>
        </w:rPr>
        <w:t>7</w:t>
      </w:r>
      <w:r w:rsidRPr="00545B26">
        <w:rPr>
          <w:b/>
          <w:bCs/>
        </w:rPr>
        <w:t>. Total back</w:t>
      </w:r>
      <w:r>
        <w:rPr>
          <w:b/>
          <w:bCs/>
        </w:rPr>
        <w:t>-</w:t>
      </w:r>
      <w:r w:rsidRPr="00545B26">
        <w:rPr>
          <w:b/>
          <w:bCs/>
        </w:rPr>
        <w:t xml:space="preserve">off for </w:t>
      </w:r>
      <w:r>
        <w:rPr>
          <w:b/>
          <w:bCs/>
        </w:rPr>
        <w:t>20</w:t>
      </w:r>
      <w:r w:rsidRPr="00545B26">
        <w:rPr>
          <w:b/>
          <w:bCs/>
        </w:rPr>
        <w:t>+</w:t>
      </w:r>
      <w:r>
        <w:rPr>
          <w:b/>
          <w:bCs/>
        </w:rPr>
        <w:t>2</w:t>
      </w:r>
      <w:r w:rsidRPr="00545B26">
        <w:rPr>
          <w:b/>
          <w:bCs/>
        </w:rPr>
        <w:t>0 MHz CA</w:t>
      </w:r>
      <w:r w:rsidR="00046BA6">
        <w:rPr>
          <w:b/>
          <w:bCs/>
        </w:rPr>
        <w:t xml:space="preserve">, </w:t>
      </w:r>
      <w:r w:rsidR="003C4A5F">
        <w:rPr>
          <w:b/>
          <w:bCs/>
        </w:rPr>
        <w:t>offset = 0</w:t>
      </w:r>
      <w:r w:rsidR="00E56C1E">
        <w:rPr>
          <w:b/>
          <w:bCs/>
        </w:rPr>
        <w:t xml:space="preserve">      Fig8. Total back-off for 20+20MHz CA</w:t>
      </w:r>
      <w:r w:rsidR="00046BA6">
        <w:rPr>
          <w:b/>
          <w:bCs/>
        </w:rPr>
        <w:t>,</w:t>
      </w:r>
      <w:r w:rsidR="00E56C1E">
        <w:rPr>
          <w:b/>
          <w:bCs/>
        </w:rPr>
        <w:t xml:space="preserve"> </w:t>
      </w:r>
      <w:r w:rsidR="00046BA6">
        <w:rPr>
          <w:b/>
          <w:bCs/>
        </w:rPr>
        <w:t>o</w:t>
      </w:r>
      <w:r w:rsidR="00E56C1E">
        <w:rPr>
          <w:b/>
          <w:bCs/>
        </w:rPr>
        <w:t>ffset = -15</w:t>
      </w:r>
      <w:r w:rsidRPr="00545B26">
        <w:rPr>
          <w:b/>
          <w:bCs/>
        </w:rPr>
        <w:t>.</w:t>
      </w:r>
    </w:p>
    <w:p w14:paraId="2C1F77B4" w14:textId="4E3FFAE6" w:rsidR="002A29A7" w:rsidRDefault="002A29A7" w:rsidP="00E56C1E">
      <w:pPr>
        <w:rPr>
          <w:b/>
          <w:bCs/>
        </w:rPr>
      </w:pPr>
    </w:p>
    <w:p w14:paraId="0789207A" w14:textId="32AF9068" w:rsidR="002A29A7" w:rsidRDefault="002A29A7" w:rsidP="00E56C1E">
      <w:pPr>
        <w:rPr>
          <w:b/>
          <w:bCs/>
        </w:rPr>
      </w:pPr>
    </w:p>
    <w:p w14:paraId="1443C671" w14:textId="77777777" w:rsidR="002A29A7" w:rsidRDefault="002A29A7" w:rsidP="00E56C1E">
      <w:pPr>
        <w:rPr>
          <w:b/>
          <w:bCs/>
        </w:rPr>
      </w:pPr>
    </w:p>
    <w:p w14:paraId="07B6A490" w14:textId="13F59444" w:rsidR="002A29A7" w:rsidRPr="00FA2529" w:rsidRDefault="002A29A7" w:rsidP="002A29A7">
      <w:pPr>
        <w:ind w:left="1420"/>
      </w:pPr>
      <w:r>
        <w:rPr>
          <w:noProof/>
        </w:rPr>
        <w:drawing>
          <wp:inline distT="0" distB="0" distL="0" distR="0" wp14:anchorId="7E633544" wp14:editId="377A9FEB">
            <wp:extent cx="4098290" cy="2456387"/>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06112" cy="2461075"/>
                    </a:xfrm>
                    <a:prstGeom prst="rect">
                      <a:avLst/>
                    </a:prstGeom>
                    <a:noFill/>
                  </pic:spPr>
                </pic:pic>
              </a:graphicData>
            </a:graphic>
          </wp:inline>
        </w:drawing>
      </w:r>
    </w:p>
    <w:p w14:paraId="04151765" w14:textId="2F5E83A2" w:rsidR="000B7337" w:rsidRDefault="002A29A7" w:rsidP="00545B26">
      <w:pPr>
        <w:rPr>
          <w:b/>
          <w:bCs/>
          <w:i/>
          <w:iCs/>
        </w:rPr>
      </w:pPr>
      <w:r>
        <w:rPr>
          <w:b/>
          <w:bCs/>
        </w:rPr>
        <w:t>Fig9. Measured non-contiguous allocations AMPR for IM3 and IM5 in the -40dBm/MHz region</w:t>
      </w:r>
    </w:p>
    <w:p w14:paraId="00A433F3" w14:textId="632A4DAC" w:rsidR="00545B26" w:rsidRPr="00E355CC" w:rsidRDefault="00545B26" w:rsidP="00545B26">
      <w:pPr>
        <w:rPr>
          <w:i/>
          <w:iCs/>
        </w:rPr>
      </w:pPr>
      <w:r w:rsidRPr="00E355CC">
        <w:rPr>
          <w:b/>
          <w:bCs/>
          <w:i/>
          <w:iCs/>
        </w:rPr>
        <w:t xml:space="preserve">Observation </w:t>
      </w:r>
      <w:r>
        <w:rPr>
          <w:b/>
          <w:bCs/>
          <w:i/>
          <w:iCs/>
        </w:rPr>
        <w:t>2</w:t>
      </w:r>
      <w:r w:rsidRPr="00E355CC">
        <w:rPr>
          <w:b/>
          <w:bCs/>
          <w:i/>
          <w:iCs/>
        </w:rPr>
        <w:t xml:space="preserve">: </w:t>
      </w:r>
      <w:r w:rsidRPr="00E355CC">
        <w:rPr>
          <w:i/>
          <w:iCs/>
        </w:rPr>
        <w:t xml:space="preserve">Needed AMPR </w:t>
      </w:r>
      <w:r>
        <w:rPr>
          <w:i/>
          <w:iCs/>
        </w:rPr>
        <w:t>for non</w:t>
      </w:r>
      <w:r w:rsidR="00F923D4">
        <w:rPr>
          <w:i/>
          <w:iCs/>
        </w:rPr>
        <w:t>-</w:t>
      </w:r>
      <w:r>
        <w:rPr>
          <w:i/>
          <w:iCs/>
        </w:rPr>
        <w:t xml:space="preserve">contiguous allocations </w:t>
      </w:r>
      <w:r w:rsidRPr="00E355CC">
        <w:rPr>
          <w:i/>
          <w:iCs/>
        </w:rPr>
        <w:t xml:space="preserve">varies </w:t>
      </w:r>
      <w:r w:rsidR="00C74380">
        <w:rPr>
          <w:i/>
          <w:iCs/>
        </w:rPr>
        <w:t>approximately</w:t>
      </w:r>
      <w:r w:rsidR="00C74380" w:rsidRPr="00E355CC">
        <w:rPr>
          <w:i/>
          <w:iCs/>
        </w:rPr>
        <w:t xml:space="preserve"> </w:t>
      </w:r>
      <w:r w:rsidRPr="00E355CC">
        <w:rPr>
          <w:i/>
          <w:iCs/>
        </w:rPr>
        <w:t>according to the overall BW_CA, independent of the constituent bandwidths.</w:t>
      </w:r>
    </w:p>
    <w:p w14:paraId="341D3CE8" w14:textId="77777777" w:rsidR="002A29A7" w:rsidRDefault="002A29A7" w:rsidP="00453E8D"/>
    <w:p w14:paraId="3867D090" w14:textId="7C44C5D3" w:rsidR="00453E8D" w:rsidRDefault="001A3F53" w:rsidP="005D64FC">
      <w:pPr>
        <w:pStyle w:val="Heading1"/>
        <w:numPr>
          <w:ilvl w:val="0"/>
          <w:numId w:val="11"/>
        </w:numPr>
        <w:pBdr>
          <w:top w:val="single" w:sz="12" w:space="0" w:color="auto"/>
        </w:pBdr>
      </w:pPr>
      <w:r>
        <w:t xml:space="preserve">AMPR </w:t>
      </w:r>
      <w:r w:rsidR="00453E8D">
        <w:t>Proposal</w:t>
      </w:r>
    </w:p>
    <w:p w14:paraId="04C65D8C" w14:textId="7D66A338" w:rsidR="00B2380F" w:rsidRDefault="00B2380F" w:rsidP="00B2380F">
      <w:pPr>
        <w:pStyle w:val="Heading2"/>
      </w:pPr>
      <w:r>
        <w:t>5.</w:t>
      </w:r>
      <w:r w:rsidRPr="006376BE">
        <w:t>1</w:t>
      </w:r>
      <w:r w:rsidRPr="006376BE">
        <w:tab/>
      </w:r>
      <w:r>
        <w:t>Contiguous Allocations</w:t>
      </w:r>
    </w:p>
    <w:p w14:paraId="196B0838" w14:textId="6E138F27" w:rsidR="005D64FC" w:rsidRDefault="00B2380F" w:rsidP="005D64FC">
      <w:r w:rsidRPr="00B2380F">
        <w:t xml:space="preserve">See Figure 5.1 for boundary conditions for </w:t>
      </w:r>
      <w:r>
        <w:t xml:space="preserve">contiguous allocations. </w:t>
      </w:r>
      <w:r w:rsidR="005D64FC">
        <w:t xml:space="preserve">The AMPR values should be aligned with single CC </w:t>
      </w:r>
      <w:r w:rsidR="00B142E1">
        <w:t xml:space="preserve">CP-OFDM </w:t>
      </w:r>
      <w:r w:rsidR="005D64FC">
        <w:t>AMPR values</w:t>
      </w:r>
      <w:r w:rsidR="00B142E1">
        <w:t xml:space="preserve"> in</w:t>
      </w:r>
      <w:r w:rsidR="005D64FC">
        <w:t xml:space="preserve"> [</w:t>
      </w:r>
      <w:r w:rsidR="0082094C">
        <w:t>2</w:t>
      </w:r>
      <w:r w:rsidR="0085438E">
        <w:t xml:space="preserve">]. </w:t>
      </w:r>
      <w:r w:rsidR="00B22B90">
        <w:t xml:space="preserve">Outer 1 AMPR values are primarily determined from IM3 regrowth and distortion </w:t>
      </w:r>
      <w:r w:rsidR="00B22B90">
        <w:lastRenderedPageBreak/>
        <w:t>products occurring in the -40dBm/MHz region and Outer 2 AMPR values occur from a combination of CIM5 and 5</w:t>
      </w:r>
      <w:r w:rsidR="00B22B90" w:rsidRPr="00B22B90">
        <w:rPr>
          <w:vertAlign w:val="superscript"/>
        </w:rPr>
        <w:t>th</w:t>
      </w:r>
      <w:r w:rsidR="00B22B90">
        <w:t xml:space="preserve"> order regrowth in the -40dBm region. </w:t>
      </w:r>
      <w:r w:rsidR="0085438E">
        <w:t xml:space="preserve">After correlating with measurements, the following AMPR </w:t>
      </w:r>
      <w:r w:rsidR="00E93831">
        <w:t>are</w:t>
      </w:r>
      <w:r w:rsidR="0085438E">
        <w:t xml:space="preserve"> proposed:</w:t>
      </w:r>
    </w:p>
    <w:p w14:paraId="7F67BD94" w14:textId="6E10E46B" w:rsidR="00876EAF" w:rsidRDefault="00876EAF" w:rsidP="005D64FC">
      <w:r w:rsidRPr="00876EAF">
        <w:rPr>
          <w:b/>
          <w:bCs/>
        </w:rPr>
        <w:t>Proposal 1</w:t>
      </w:r>
      <w:r>
        <w:t>: AMPR for contiguous allocations</w:t>
      </w:r>
    </w:p>
    <w:p w14:paraId="2F5EE003" w14:textId="557CA66F" w:rsidR="005D64FC" w:rsidRDefault="003C2075" w:rsidP="005D64FC">
      <w:r>
        <w:t>For BWCA</w:t>
      </w:r>
      <w:r w:rsidR="00B142E1">
        <w:t xml:space="preserve"> </w:t>
      </w:r>
      <w:r>
        <w:t>&lt;</w:t>
      </w:r>
      <w:r w:rsidR="00B142E1">
        <w:t xml:space="preserve"> </w:t>
      </w:r>
      <w:r>
        <w:t>30MHz</w:t>
      </w:r>
      <w:r w:rsidR="005D64FC">
        <w:t xml:space="preserve">, </w:t>
      </w:r>
      <w:r w:rsidR="00AA4490">
        <w:t xml:space="preserve">LCRB </w:t>
      </w:r>
      <w:r w:rsidR="001A3F53">
        <w:t>is restricted to &lt;=</w:t>
      </w:r>
      <w:r w:rsidR="00AA4490">
        <w:t xml:space="preserve"> </w:t>
      </w:r>
      <w:r w:rsidR="001A3F53">
        <w:t>54 for DFT-s-OFDM and LCRB &lt;= 89 for CP-OFDM</w:t>
      </w:r>
      <w:r w:rsidR="005D64FC">
        <w:t xml:space="preserve">, </w:t>
      </w:r>
    </w:p>
    <w:p w14:paraId="5157E1B9" w14:textId="3D2B588B" w:rsidR="003C2075" w:rsidRDefault="005D64FC" w:rsidP="005D64FC">
      <w:pPr>
        <w:pStyle w:val="ListParagraph"/>
        <w:numPr>
          <w:ilvl w:val="0"/>
          <w:numId w:val="13"/>
        </w:numPr>
      </w:pPr>
      <w:r>
        <w:t xml:space="preserve">AMPR = </w:t>
      </w:r>
      <w:r w:rsidR="001A3F53">
        <w:t>0</w:t>
      </w:r>
      <w:r>
        <w:t>dB</w:t>
      </w:r>
      <w:r w:rsidR="001A3F53">
        <w:t xml:space="preserve"> and apply MPR for UE-UE Coexistence requirement.</w:t>
      </w:r>
    </w:p>
    <w:p w14:paraId="4DB67A01" w14:textId="1470D7F8" w:rsidR="00067E4B" w:rsidRDefault="00067E4B" w:rsidP="009662AB">
      <w:r>
        <w:t>For BW</w:t>
      </w:r>
      <w:r w:rsidR="003C2075">
        <w:t>CA</w:t>
      </w:r>
      <w:r w:rsidR="00B142E1">
        <w:t xml:space="preserve"> ≥ </w:t>
      </w:r>
      <w:r w:rsidR="003C2075">
        <w:t>30MHz</w:t>
      </w:r>
    </w:p>
    <w:p w14:paraId="24A46EF5" w14:textId="7E3EE3CF" w:rsidR="009662AB" w:rsidRDefault="00067E4B" w:rsidP="003C2075">
      <w:pPr>
        <w:ind w:left="284"/>
      </w:pPr>
      <w:r>
        <w:t>I</w:t>
      </w:r>
      <w:r w:rsidR="003F3824">
        <w:t>nner</w:t>
      </w:r>
      <w:r w:rsidR="00995B64">
        <w:t>2</w:t>
      </w:r>
      <w:r w:rsidR="003F3824">
        <w:t xml:space="preserve"> region </w:t>
      </w:r>
      <w:r w:rsidR="00FC46C4">
        <w:t>defined as follows:</w:t>
      </w:r>
    </w:p>
    <w:p w14:paraId="72E17E49" w14:textId="0C138F43" w:rsidR="00534A6F" w:rsidRDefault="00534A6F" w:rsidP="003C2075">
      <w:pPr>
        <w:pStyle w:val="ListParagraph"/>
        <w:numPr>
          <w:ilvl w:val="0"/>
          <w:numId w:val="7"/>
        </w:numPr>
        <w:ind w:left="1004"/>
      </w:pPr>
      <w:proofErr w:type="spellStart"/>
      <w:r>
        <w:t>RBend</w:t>
      </w:r>
      <w:proofErr w:type="spellEnd"/>
      <w:r w:rsidR="00405E3B">
        <w:t xml:space="preserve"> </w:t>
      </w:r>
      <w:r w:rsidR="00CF335F">
        <w:t>&lt;</w:t>
      </w:r>
      <w:r w:rsidR="00405E3B">
        <w:t xml:space="preserve"> </w:t>
      </w:r>
      <w:r w:rsidR="008017C8">
        <w:t>.75</w:t>
      </w:r>
      <w:r w:rsidR="00405E3B">
        <w:t>*NRB</w:t>
      </w:r>
    </w:p>
    <w:p w14:paraId="4E46DAE0" w14:textId="6F769314" w:rsidR="00405E3B" w:rsidRDefault="00405E3B" w:rsidP="003C2075">
      <w:pPr>
        <w:pStyle w:val="ListParagraph"/>
        <w:numPr>
          <w:ilvl w:val="0"/>
          <w:numId w:val="7"/>
        </w:numPr>
        <w:ind w:left="1004"/>
      </w:pPr>
      <w:r>
        <w:t xml:space="preserve">LCRB </w:t>
      </w:r>
      <w:r w:rsidR="00CF335F">
        <w:t>&lt;</w:t>
      </w:r>
      <w:r>
        <w:t xml:space="preserve"> </w:t>
      </w:r>
      <w:r w:rsidR="00CF0B7E">
        <w:t>.25</w:t>
      </w:r>
      <w:r>
        <w:t>*NRB</w:t>
      </w:r>
    </w:p>
    <w:p w14:paraId="13A93A31" w14:textId="08DF3892" w:rsidR="006A743F" w:rsidRDefault="006A743F" w:rsidP="003C2075">
      <w:pPr>
        <w:pStyle w:val="ListParagraph"/>
        <w:numPr>
          <w:ilvl w:val="0"/>
          <w:numId w:val="7"/>
        </w:numPr>
        <w:ind w:left="1004"/>
      </w:pPr>
      <w:proofErr w:type="spellStart"/>
      <w:r>
        <w:t>RBend</w:t>
      </w:r>
      <w:proofErr w:type="spellEnd"/>
      <w:r>
        <w:t xml:space="preserve"> </w:t>
      </w:r>
      <w:r w:rsidR="00CF335F">
        <w:t>&gt;</w:t>
      </w:r>
      <w:r>
        <w:t xml:space="preserve"> </w:t>
      </w:r>
      <w:r w:rsidR="008017C8">
        <w:t>.25</w:t>
      </w:r>
      <w:r>
        <w:t>*NRB+LCRB</w:t>
      </w:r>
    </w:p>
    <w:p w14:paraId="6A90193B" w14:textId="5363ED8B" w:rsidR="00FC46C4" w:rsidRDefault="00995B64" w:rsidP="003C2075">
      <w:pPr>
        <w:ind w:left="284"/>
      </w:pPr>
      <w:r>
        <w:t>Inner2 region has 0dB AMPR, where only MPR would apply.</w:t>
      </w:r>
    </w:p>
    <w:p w14:paraId="002745D6" w14:textId="0CE2CCCE" w:rsidR="00961327" w:rsidRDefault="00CD2B0D" w:rsidP="003C2075">
      <w:pPr>
        <w:ind w:left="284"/>
      </w:pPr>
      <w:r>
        <w:t xml:space="preserve">All other regions </w:t>
      </w:r>
      <w:r w:rsidR="00022E5E" w:rsidRPr="00B142E1">
        <w:rPr>
          <w:u w:val="single"/>
        </w:rPr>
        <w:t xml:space="preserve">not </w:t>
      </w:r>
      <w:r w:rsidR="00022E5E">
        <w:t xml:space="preserve">in inner2 region </w:t>
      </w:r>
      <w:r>
        <w:t>would have the following AMP</w:t>
      </w:r>
      <w:r w:rsidR="007E069B">
        <w:t>R</w:t>
      </w:r>
      <w:r w:rsidR="00F53C2E">
        <w:t xml:space="preserve"> </w:t>
      </w:r>
    </w:p>
    <w:p w14:paraId="1F1CE27F" w14:textId="15350603" w:rsidR="008E51DB" w:rsidRDefault="00B142E1" w:rsidP="008E51DB">
      <w:pPr>
        <w:pStyle w:val="ListParagraph"/>
        <w:numPr>
          <w:ilvl w:val="0"/>
          <w:numId w:val="10"/>
        </w:numPr>
      </w:pPr>
      <w:r>
        <w:t xml:space="preserve">Outer </w:t>
      </w:r>
      <w:r w:rsidR="00F53C2E">
        <w:t>1</w:t>
      </w:r>
      <w:r w:rsidR="00F07E09">
        <w:t>=11dB</w:t>
      </w:r>
      <w:r w:rsidR="00961327">
        <w:t xml:space="preserve"> for </w:t>
      </w:r>
      <w:proofErr w:type="spellStart"/>
      <w:r w:rsidR="00961327">
        <w:t>RBend</w:t>
      </w:r>
      <w:proofErr w:type="spellEnd"/>
      <w:r>
        <w:t xml:space="preserve"> </w:t>
      </w:r>
      <w:r w:rsidR="00022E5E">
        <w:t>&gt;</w:t>
      </w:r>
      <w:r>
        <w:t xml:space="preserve"> </w:t>
      </w:r>
      <w:r w:rsidR="00022E5E">
        <w:t>.75*NRB</w:t>
      </w:r>
    </w:p>
    <w:p w14:paraId="68C9214B" w14:textId="4CB7D5BC" w:rsidR="00270309" w:rsidRDefault="00B142E1" w:rsidP="00270309">
      <w:pPr>
        <w:pStyle w:val="ListParagraph"/>
        <w:numPr>
          <w:ilvl w:val="0"/>
          <w:numId w:val="10"/>
        </w:numPr>
      </w:pPr>
      <w:r>
        <w:t>Outer 2</w:t>
      </w:r>
      <w:r w:rsidR="00F07E09">
        <w:t>=7dB</w:t>
      </w:r>
      <w:r w:rsidR="00022E5E">
        <w:t xml:space="preserve"> for </w:t>
      </w:r>
      <w:proofErr w:type="spellStart"/>
      <w:r w:rsidR="00022E5E">
        <w:t>RBend</w:t>
      </w:r>
      <w:proofErr w:type="spellEnd"/>
      <w:r>
        <w:t xml:space="preserve"> ≤ </w:t>
      </w:r>
      <w:r w:rsidR="00AB6F66">
        <w:t>.75*NRB</w:t>
      </w:r>
    </w:p>
    <w:p w14:paraId="37EBD18A" w14:textId="06DEE4F9" w:rsidR="00B2380F" w:rsidRDefault="00B142E1" w:rsidP="00B2380F">
      <w:pPr>
        <w:ind w:left="1704"/>
      </w:pPr>
      <w:r>
        <w:rPr>
          <w:noProof/>
        </w:rPr>
        <w:drawing>
          <wp:inline distT="0" distB="0" distL="0" distR="0" wp14:anchorId="011852A3" wp14:editId="7CF07FF5">
            <wp:extent cx="3543300" cy="220342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53511" cy="2209777"/>
                    </a:xfrm>
                    <a:prstGeom prst="rect">
                      <a:avLst/>
                    </a:prstGeom>
                    <a:noFill/>
                  </pic:spPr>
                </pic:pic>
              </a:graphicData>
            </a:graphic>
          </wp:inline>
        </w:drawing>
      </w:r>
    </w:p>
    <w:p w14:paraId="39925032" w14:textId="449B2D1E" w:rsidR="00B2380F" w:rsidRDefault="00B2380F" w:rsidP="00B2380F">
      <w:pPr>
        <w:ind w:left="3976"/>
        <w:rPr>
          <w:b/>
          <w:bCs/>
        </w:rPr>
      </w:pPr>
      <w:r w:rsidRPr="00B2380F">
        <w:rPr>
          <w:b/>
          <w:bCs/>
        </w:rPr>
        <w:t>Figure 5.1</w:t>
      </w:r>
    </w:p>
    <w:p w14:paraId="0DDC20F5" w14:textId="1949A5D2" w:rsidR="00B2380F" w:rsidRDefault="00B2380F" w:rsidP="00B2380F">
      <w:pPr>
        <w:pStyle w:val="Heading2"/>
        <w:numPr>
          <w:ilvl w:val="1"/>
          <w:numId w:val="11"/>
        </w:numPr>
      </w:pPr>
      <w:r>
        <w:t>Non-contiguous Allocations</w:t>
      </w:r>
    </w:p>
    <w:p w14:paraId="3BC8F65B" w14:textId="1917CA0B" w:rsidR="0082094C" w:rsidRDefault="0082094C" w:rsidP="0082094C">
      <w:pPr>
        <w:pStyle w:val="ListParagraph"/>
        <w:ind w:left="360"/>
      </w:pPr>
      <w:r>
        <w:t>The peak AMPR is defined where IM3 and IM</w:t>
      </w:r>
      <w:r w:rsidR="00B142E1">
        <w:t>5</w:t>
      </w:r>
      <w:r>
        <w:t xml:space="preserve"> fall in the -40dBm/MHz emission region.</w:t>
      </w:r>
    </w:p>
    <w:p w14:paraId="40AED480" w14:textId="0E1AF770" w:rsidR="00876EAF" w:rsidRDefault="00876EAF" w:rsidP="0082094C">
      <w:pPr>
        <w:pStyle w:val="ListParagraph"/>
        <w:ind w:left="360"/>
      </w:pPr>
    </w:p>
    <w:p w14:paraId="29FAC4DE" w14:textId="0164C85D" w:rsidR="0082094C" w:rsidRDefault="00876EAF" w:rsidP="00876EAF">
      <w:pPr>
        <w:ind w:firstLine="284"/>
      </w:pPr>
      <w:r w:rsidRPr="00876EAF">
        <w:rPr>
          <w:b/>
          <w:bCs/>
        </w:rPr>
        <w:t xml:space="preserve">Proposal </w:t>
      </w:r>
      <w:r>
        <w:rPr>
          <w:b/>
          <w:bCs/>
        </w:rPr>
        <w:t>2</w:t>
      </w:r>
      <w:r>
        <w:t>: AMPR for non-contiguous allocations</w:t>
      </w:r>
      <w:r w:rsidR="00813666">
        <w:t>. Apply IM3_AMPR for CABWs&gt; 25MHz. Apply IM5_AMPR for all CABWs</w:t>
      </w:r>
      <w:r w:rsidR="002A29A7">
        <w:t>:</w:t>
      </w:r>
    </w:p>
    <w:tbl>
      <w:tblPr>
        <w:tblW w:w="5244" w:type="dxa"/>
        <w:tblInd w:w="1586" w:type="dxa"/>
        <w:tblLook w:val="04A0" w:firstRow="1" w:lastRow="0" w:firstColumn="1" w:lastColumn="0" w:noHBand="0" w:noVBand="1"/>
      </w:tblPr>
      <w:tblGrid>
        <w:gridCol w:w="960"/>
        <w:gridCol w:w="960"/>
        <w:gridCol w:w="1704"/>
        <w:gridCol w:w="1620"/>
      </w:tblGrid>
      <w:tr w:rsidR="002A29A7" w:rsidRPr="002A29A7" w14:paraId="6E7B9035" w14:textId="77777777" w:rsidTr="002A29A7">
        <w:trPr>
          <w:trHeight w:val="315"/>
        </w:trPr>
        <w:tc>
          <w:tcPr>
            <w:tcW w:w="1920"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C23400E"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B, MHz</w:t>
            </w:r>
          </w:p>
        </w:tc>
        <w:tc>
          <w:tcPr>
            <w:tcW w:w="3324" w:type="dxa"/>
            <w:gridSpan w:val="2"/>
            <w:tcBorders>
              <w:top w:val="single" w:sz="8" w:space="0" w:color="auto"/>
              <w:left w:val="nil"/>
              <w:bottom w:val="nil"/>
              <w:right w:val="single" w:sz="8" w:space="0" w:color="000000"/>
            </w:tcBorders>
            <w:shd w:val="clear" w:color="auto" w:fill="auto"/>
            <w:noWrap/>
            <w:vAlign w:val="bottom"/>
            <w:hideMark/>
          </w:tcPr>
          <w:p w14:paraId="3F5D0452"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AMPR, dB to meet -40dBm/MHz</w:t>
            </w:r>
          </w:p>
        </w:tc>
      </w:tr>
      <w:tr w:rsidR="002A29A7" w:rsidRPr="002A29A7" w14:paraId="47F000A6" w14:textId="77777777" w:rsidTr="002A29A7">
        <w:trPr>
          <w:trHeight w:val="315"/>
        </w:trPr>
        <w:tc>
          <w:tcPr>
            <w:tcW w:w="1920" w:type="dxa"/>
            <w:gridSpan w:val="2"/>
            <w:vMerge/>
            <w:tcBorders>
              <w:top w:val="single" w:sz="8" w:space="0" w:color="auto"/>
              <w:left w:val="single" w:sz="8" w:space="0" w:color="auto"/>
              <w:bottom w:val="single" w:sz="8" w:space="0" w:color="000000"/>
              <w:right w:val="single" w:sz="8" w:space="0" w:color="000000"/>
            </w:tcBorders>
            <w:vAlign w:val="center"/>
            <w:hideMark/>
          </w:tcPr>
          <w:p w14:paraId="155839F7" w14:textId="77777777" w:rsidR="002A29A7" w:rsidRPr="002A29A7" w:rsidRDefault="002A29A7" w:rsidP="002A29A7">
            <w:pPr>
              <w:overflowPunct/>
              <w:autoSpaceDE/>
              <w:autoSpaceDN/>
              <w:adjustRightInd/>
              <w:spacing w:after="0"/>
              <w:textAlignment w:val="auto"/>
              <w:rPr>
                <w:rFonts w:ascii="Calibri" w:hAnsi="Calibri" w:cs="Calibri"/>
                <w:color w:val="000000"/>
                <w:sz w:val="22"/>
                <w:szCs w:val="22"/>
                <w:lang w:val="en-US"/>
              </w:rPr>
            </w:pPr>
          </w:p>
        </w:tc>
        <w:tc>
          <w:tcPr>
            <w:tcW w:w="1704" w:type="dxa"/>
            <w:tcBorders>
              <w:top w:val="single" w:sz="8" w:space="0" w:color="auto"/>
              <w:left w:val="nil"/>
              <w:bottom w:val="single" w:sz="8" w:space="0" w:color="auto"/>
              <w:right w:val="single" w:sz="8" w:space="0" w:color="auto"/>
            </w:tcBorders>
            <w:shd w:val="clear" w:color="auto" w:fill="auto"/>
            <w:noWrap/>
            <w:vAlign w:val="bottom"/>
            <w:hideMark/>
          </w:tcPr>
          <w:p w14:paraId="74B4842E"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IM3</w:t>
            </w:r>
          </w:p>
        </w:tc>
        <w:tc>
          <w:tcPr>
            <w:tcW w:w="1620" w:type="dxa"/>
            <w:tcBorders>
              <w:top w:val="single" w:sz="8" w:space="0" w:color="auto"/>
              <w:left w:val="nil"/>
              <w:bottom w:val="single" w:sz="8" w:space="0" w:color="auto"/>
              <w:right w:val="single" w:sz="8" w:space="0" w:color="auto"/>
            </w:tcBorders>
            <w:shd w:val="clear" w:color="auto" w:fill="auto"/>
            <w:noWrap/>
            <w:vAlign w:val="bottom"/>
            <w:hideMark/>
          </w:tcPr>
          <w:p w14:paraId="4C3FD58B"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IM5</w:t>
            </w:r>
          </w:p>
        </w:tc>
      </w:tr>
      <w:tr w:rsidR="002A29A7" w:rsidRPr="002A29A7" w14:paraId="1606160A" w14:textId="77777777" w:rsidTr="002A29A7">
        <w:trPr>
          <w:trHeight w:val="300"/>
        </w:trPr>
        <w:tc>
          <w:tcPr>
            <w:tcW w:w="960" w:type="dxa"/>
            <w:tcBorders>
              <w:top w:val="nil"/>
              <w:left w:val="single" w:sz="8" w:space="0" w:color="auto"/>
              <w:bottom w:val="nil"/>
              <w:right w:val="nil"/>
            </w:tcBorders>
            <w:shd w:val="clear" w:color="auto" w:fill="auto"/>
            <w:noWrap/>
            <w:vAlign w:val="bottom"/>
            <w:hideMark/>
          </w:tcPr>
          <w:p w14:paraId="5D55C143"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0</w:t>
            </w:r>
          </w:p>
        </w:tc>
        <w:tc>
          <w:tcPr>
            <w:tcW w:w="960" w:type="dxa"/>
            <w:tcBorders>
              <w:top w:val="nil"/>
              <w:left w:val="nil"/>
              <w:bottom w:val="nil"/>
              <w:right w:val="single" w:sz="8" w:space="0" w:color="auto"/>
            </w:tcBorders>
            <w:shd w:val="clear" w:color="auto" w:fill="auto"/>
            <w:noWrap/>
            <w:vAlign w:val="bottom"/>
            <w:hideMark/>
          </w:tcPr>
          <w:p w14:paraId="3DE402D4"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0.36</w:t>
            </w:r>
          </w:p>
        </w:tc>
        <w:tc>
          <w:tcPr>
            <w:tcW w:w="1704" w:type="dxa"/>
            <w:tcBorders>
              <w:top w:val="nil"/>
              <w:left w:val="nil"/>
              <w:bottom w:val="nil"/>
              <w:right w:val="single" w:sz="8" w:space="0" w:color="auto"/>
            </w:tcBorders>
            <w:shd w:val="clear" w:color="auto" w:fill="auto"/>
            <w:noWrap/>
            <w:vAlign w:val="bottom"/>
            <w:hideMark/>
          </w:tcPr>
          <w:p w14:paraId="6F4D5089"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20</w:t>
            </w:r>
          </w:p>
        </w:tc>
        <w:tc>
          <w:tcPr>
            <w:tcW w:w="1620" w:type="dxa"/>
            <w:tcBorders>
              <w:top w:val="nil"/>
              <w:left w:val="nil"/>
              <w:bottom w:val="nil"/>
              <w:right w:val="single" w:sz="8" w:space="0" w:color="auto"/>
            </w:tcBorders>
            <w:shd w:val="clear" w:color="auto" w:fill="auto"/>
            <w:noWrap/>
            <w:vAlign w:val="bottom"/>
            <w:hideMark/>
          </w:tcPr>
          <w:p w14:paraId="04178997"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12.4</w:t>
            </w:r>
          </w:p>
        </w:tc>
      </w:tr>
      <w:tr w:rsidR="002A29A7" w:rsidRPr="002A29A7" w14:paraId="1A40CD1D" w14:textId="77777777" w:rsidTr="002A29A7">
        <w:trPr>
          <w:trHeight w:val="300"/>
        </w:trPr>
        <w:tc>
          <w:tcPr>
            <w:tcW w:w="960" w:type="dxa"/>
            <w:tcBorders>
              <w:top w:val="nil"/>
              <w:left w:val="single" w:sz="8" w:space="0" w:color="auto"/>
              <w:bottom w:val="nil"/>
              <w:right w:val="nil"/>
            </w:tcBorders>
            <w:shd w:val="clear" w:color="auto" w:fill="auto"/>
            <w:noWrap/>
            <w:vAlign w:val="bottom"/>
            <w:hideMark/>
          </w:tcPr>
          <w:p w14:paraId="0288293F"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0.36</w:t>
            </w:r>
          </w:p>
        </w:tc>
        <w:tc>
          <w:tcPr>
            <w:tcW w:w="960" w:type="dxa"/>
            <w:tcBorders>
              <w:top w:val="nil"/>
              <w:left w:val="nil"/>
              <w:bottom w:val="nil"/>
              <w:right w:val="single" w:sz="8" w:space="0" w:color="auto"/>
            </w:tcBorders>
            <w:shd w:val="clear" w:color="auto" w:fill="auto"/>
            <w:noWrap/>
            <w:vAlign w:val="bottom"/>
            <w:hideMark/>
          </w:tcPr>
          <w:p w14:paraId="3CA2FE6C"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1.08</w:t>
            </w:r>
          </w:p>
        </w:tc>
        <w:tc>
          <w:tcPr>
            <w:tcW w:w="1704" w:type="dxa"/>
            <w:tcBorders>
              <w:top w:val="nil"/>
              <w:left w:val="nil"/>
              <w:bottom w:val="nil"/>
              <w:right w:val="single" w:sz="8" w:space="0" w:color="auto"/>
            </w:tcBorders>
            <w:shd w:val="clear" w:color="auto" w:fill="auto"/>
            <w:noWrap/>
            <w:vAlign w:val="bottom"/>
            <w:hideMark/>
          </w:tcPr>
          <w:p w14:paraId="54075957"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20</w:t>
            </w:r>
          </w:p>
        </w:tc>
        <w:tc>
          <w:tcPr>
            <w:tcW w:w="1620" w:type="dxa"/>
            <w:tcBorders>
              <w:top w:val="nil"/>
              <w:left w:val="nil"/>
              <w:bottom w:val="nil"/>
              <w:right w:val="single" w:sz="8" w:space="0" w:color="auto"/>
            </w:tcBorders>
            <w:shd w:val="clear" w:color="auto" w:fill="auto"/>
            <w:noWrap/>
            <w:vAlign w:val="bottom"/>
            <w:hideMark/>
          </w:tcPr>
          <w:p w14:paraId="38FB42DC"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11.6</w:t>
            </w:r>
          </w:p>
        </w:tc>
      </w:tr>
      <w:tr w:rsidR="002A29A7" w:rsidRPr="002A29A7" w14:paraId="59B680D9" w14:textId="77777777" w:rsidTr="002A29A7">
        <w:trPr>
          <w:trHeight w:val="300"/>
        </w:trPr>
        <w:tc>
          <w:tcPr>
            <w:tcW w:w="960" w:type="dxa"/>
            <w:tcBorders>
              <w:top w:val="nil"/>
              <w:left w:val="single" w:sz="8" w:space="0" w:color="auto"/>
              <w:bottom w:val="nil"/>
              <w:right w:val="nil"/>
            </w:tcBorders>
            <w:shd w:val="clear" w:color="auto" w:fill="auto"/>
            <w:noWrap/>
            <w:vAlign w:val="bottom"/>
            <w:hideMark/>
          </w:tcPr>
          <w:p w14:paraId="4309872F"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1.08</w:t>
            </w:r>
          </w:p>
        </w:tc>
        <w:tc>
          <w:tcPr>
            <w:tcW w:w="960" w:type="dxa"/>
            <w:tcBorders>
              <w:top w:val="nil"/>
              <w:left w:val="nil"/>
              <w:bottom w:val="nil"/>
              <w:right w:val="single" w:sz="8" w:space="0" w:color="auto"/>
            </w:tcBorders>
            <w:shd w:val="clear" w:color="auto" w:fill="auto"/>
            <w:noWrap/>
            <w:vAlign w:val="bottom"/>
            <w:hideMark/>
          </w:tcPr>
          <w:p w14:paraId="5F93F202"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2.16</w:t>
            </w:r>
          </w:p>
        </w:tc>
        <w:tc>
          <w:tcPr>
            <w:tcW w:w="1704" w:type="dxa"/>
            <w:tcBorders>
              <w:top w:val="nil"/>
              <w:left w:val="nil"/>
              <w:bottom w:val="nil"/>
              <w:right w:val="single" w:sz="8" w:space="0" w:color="auto"/>
            </w:tcBorders>
            <w:shd w:val="clear" w:color="auto" w:fill="auto"/>
            <w:noWrap/>
            <w:vAlign w:val="bottom"/>
            <w:hideMark/>
          </w:tcPr>
          <w:p w14:paraId="49B8320F"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19.6</w:t>
            </w:r>
          </w:p>
        </w:tc>
        <w:tc>
          <w:tcPr>
            <w:tcW w:w="1620" w:type="dxa"/>
            <w:tcBorders>
              <w:top w:val="nil"/>
              <w:left w:val="nil"/>
              <w:bottom w:val="nil"/>
              <w:right w:val="single" w:sz="8" w:space="0" w:color="auto"/>
            </w:tcBorders>
            <w:shd w:val="clear" w:color="auto" w:fill="auto"/>
            <w:noWrap/>
            <w:vAlign w:val="bottom"/>
            <w:hideMark/>
          </w:tcPr>
          <w:p w14:paraId="3A65428A"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11.3</w:t>
            </w:r>
          </w:p>
        </w:tc>
      </w:tr>
      <w:tr w:rsidR="002A29A7" w:rsidRPr="002A29A7" w14:paraId="450538ED" w14:textId="77777777" w:rsidTr="002A29A7">
        <w:trPr>
          <w:trHeight w:val="300"/>
        </w:trPr>
        <w:tc>
          <w:tcPr>
            <w:tcW w:w="960" w:type="dxa"/>
            <w:tcBorders>
              <w:top w:val="nil"/>
              <w:left w:val="single" w:sz="8" w:space="0" w:color="auto"/>
              <w:bottom w:val="nil"/>
              <w:right w:val="nil"/>
            </w:tcBorders>
            <w:shd w:val="clear" w:color="auto" w:fill="auto"/>
            <w:noWrap/>
            <w:vAlign w:val="bottom"/>
            <w:hideMark/>
          </w:tcPr>
          <w:p w14:paraId="4979E112"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2.16</w:t>
            </w:r>
          </w:p>
        </w:tc>
        <w:tc>
          <w:tcPr>
            <w:tcW w:w="960" w:type="dxa"/>
            <w:tcBorders>
              <w:top w:val="nil"/>
              <w:left w:val="nil"/>
              <w:bottom w:val="nil"/>
              <w:right w:val="single" w:sz="8" w:space="0" w:color="auto"/>
            </w:tcBorders>
            <w:shd w:val="clear" w:color="auto" w:fill="auto"/>
            <w:noWrap/>
            <w:vAlign w:val="bottom"/>
            <w:hideMark/>
          </w:tcPr>
          <w:p w14:paraId="63BC3A04"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3.24</w:t>
            </w:r>
          </w:p>
        </w:tc>
        <w:tc>
          <w:tcPr>
            <w:tcW w:w="1704" w:type="dxa"/>
            <w:tcBorders>
              <w:top w:val="nil"/>
              <w:left w:val="nil"/>
              <w:bottom w:val="nil"/>
              <w:right w:val="single" w:sz="8" w:space="0" w:color="auto"/>
            </w:tcBorders>
            <w:shd w:val="clear" w:color="auto" w:fill="auto"/>
            <w:noWrap/>
            <w:vAlign w:val="bottom"/>
            <w:hideMark/>
          </w:tcPr>
          <w:p w14:paraId="470A9A6C"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18.5</w:t>
            </w:r>
          </w:p>
        </w:tc>
        <w:tc>
          <w:tcPr>
            <w:tcW w:w="1620" w:type="dxa"/>
            <w:tcBorders>
              <w:top w:val="nil"/>
              <w:left w:val="nil"/>
              <w:bottom w:val="nil"/>
              <w:right w:val="single" w:sz="8" w:space="0" w:color="auto"/>
            </w:tcBorders>
            <w:shd w:val="clear" w:color="auto" w:fill="auto"/>
            <w:noWrap/>
            <w:vAlign w:val="bottom"/>
            <w:hideMark/>
          </w:tcPr>
          <w:p w14:paraId="7CD2FB72"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10.6</w:t>
            </w:r>
          </w:p>
        </w:tc>
      </w:tr>
      <w:tr w:rsidR="002A29A7" w:rsidRPr="002A29A7" w14:paraId="27E448E5" w14:textId="77777777" w:rsidTr="002A29A7">
        <w:trPr>
          <w:trHeight w:val="300"/>
        </w:trPr>
        <w:tc>
          <w:tcPr>
            <w:tcW w:w="960" w:type="dxa"/>
            <w:tcBorders>
              <w:top w:val="nil"/>
              <w:left w:val="single" w:sz="8" w:space="0" w:color="auto"/>
              <w:bottom w:val="nil"/>
              <w:right w:val="nil"/>
            </w:tcBorders>
            <w:shd w:val="clear" w:color="auto" w:fill="auto"/>
            <w:noWrap/>
            <w:vAlign w:val="bottom"/>
            <w:hideMark/>
          </w:tcPr>
          <w:p w14:paraId="7465C751"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3.24</w:t>
            </w:r>
          </w:p>
        </w:tc>
        <w:tc>
          <w:tcPr>
            <w:tcW w:w="960" w:type="dxa"/>
            <w:tcBorders>
              <w:top w:val="nil"/>
              <w:left w:val="nil"/>
              <w:bottom w:val="nil"/>
              <w:right w:val="single" w:sz="8" w:space="0" w:color="auto"/>
            </w:tcBorders>
            <w:shd w:val="clear" w:color="auto" w:fill="auto"/>
            <w:noWrap/>
            <w:vAlign w:val="bottom"/>
            <w:hideMark/>
          </w:tcPr>
          <w:p w14:paraId="7F9C6BDA"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5.4</w:t>
            </w:r>
          </w:p>
        </w:tc>
        <w:tc>
          <w:tcPr>
            <w:tcW w:w="1704" w:type="dxa"/>
            <w:tcBorders>
              <w:top w:val="nil"/>
              <w:left w:val="nil"/>
              <w:bottom w:val="nil"/>
              <w:right w:val="single" w:sz="8" w:space="0" w:color="auto"/>
            </w:tcBorders>
            <w:shd w:val="clear" w:color="auto" w:fill="auto"/>
            <w:noWrap/>
            <w:vAlign w:val="bottom"/>
            <w:hideMark/>
          </w:tcPr>
          <w:p w14:paraId="2EE28D19"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18.1</w:t>
            </w:r>
          </w:p>
        </w:tc>
        <w:tc>
          <w:tcPr>
            <w:tcW w:w="1620" w:type="dxa"/>
            <w:tcBorders>
              <w:top w:val="nil"/>
              <w:left w:val="nil"/>
              <w:bottom w:val="nil"/>
              <w:right w:val="single" w:sz="8" w:space="0" w:color="auto"/>
            </w:tcBorders>
            <w:shd w:val="clear" w:color="auto" w:fill="auto"/>
            <w:noWrap/>
            <w:vAlign w:val="bottom"/>
            <w:hideMark/>
          </w:tcPr>
          <w:p w14:paraId="444BB825"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9.6</w:t>
            </w:r>
          </w:p>
        </w:tc>
      </w:tr>
      <w:tr w:rsidR="002A29A7" w:rsidRPr="002A29A7" w14:paraId="2D841329" w14:textId="77777777" w:rsidTr="002A29A7">
        <w:trPr>
          <w:trHeight w:val="300"/>
        </w:trPr>
        <w:tc>
          <w:tcPr>
            <w:tcW w:w="960" w:type="dxa"/>
            <w:tcBorders>
              <w:top w:val="nil"/>
              <w:left w:val="single" w:sz="8" w:space="0" w:color="auto"/>
              <w:bottom w:val="nil"/>
              <w:right w:val="nil"/>
            </w:tcBorders>
            <w:shd w:val="clear" w:color="auto" w:fill="auto"/>
            <w:noWrap/>
            <w:vAlign w:val="bottom"/>
            <w:hideMark/>
          </w:tcPr>
          <w:p w14:paraId="7BCD50C7"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5.4</w:t>
            </w:r>
          </w:p>
        </w:tc>
        <w:tc>
          <w:tcPr>
            <w:tcW w:w="960" w:type="dxa"/>
            <w:tcBorders>
              <w:top w:val="nil"/>
              <w:left w:val="nil"/>
              <w:bottom w:val="nil"/>
              <w:right w:val="single" w:sz="8" w:space="0" w:color="auto"/>
            </w:tcBorders>
            <w:shd w:val="clear" w:color="auto" w:fill="auto"/>
            <w:noWrap/>
            <w:vAlign w:val="bottom"/>
            <w:hideMark/>
          </w:tcPr>
          <w:p w14:paraId="0EA0EF76"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10.8</w:t>
            </w:r>
          </w:p>
        </w:tc>
        <w:tc>
          <w:tcPr>
            <w:tcW w:w="1704" w:type="dxa"/>
            <w:tcBorders>
              <w:top w:val="nil"/>
              <w:left w:val="nil"/>
              <w:bottom w:val="nil"/>
              <w:right w:val="single" w:sz="8" w:space="0" w:color="auto"/>
            </w:tcBorders>
            <w:shd w:val="clear" w:color="auto" w:fill="auto"/>
            <w:noWrap/>
            <w:vAlign w:val="bottom"/>
            <w:hideMark/>
          </w:tcPr>
          <w:p w14:paraId="4F0F3D6F"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14.9</w:t>
            </w:r>
          </w:p>
        </w:tc>
        <w:tc>
          <w:tcPr>
            <w:tcW w:w="1620" w:type="dxa"/>
            <w:tcBorders>
              <w:top w:val="nil"/>
              <w:left w:val="nil"/>
              <w:bottom w:val="nil"/>
              <w:right w:val="single" w:sz="8" w:space="0" w:color="auto"/>
            </w:tcBorders>
            <w:shd w:val="clear" w:color="auto" w:fill="auto"/>
            <w:noWrap/>
            <w:vAlign w:val="bottom"/>
            <w:hideMark/>
          </w:tcPr>
          <w:p w14:paraId="16B4B4AD"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8.1</w:t>
            </w:r>
          </w:p>
        </w:tc>
      </w:tr>
      <w:tr w:rsidR="002A29A7" w:rsidRPr="002A29A7" w14:paraId="7642A951" w14:textId="77777777" w:rsidTr="002A29A7">
        <w:trPr>
          <w:trHeight w:val="315"/>
        </w:trPr>
        <w:tc>
          <w:tcPr>
            <w:tcW w:w="960" w:type="dxa"/>
            <w:tcBorders>
              <w:top w:val="nil"/>
              <w:left w:val="single" w:sz="8" w:space="0" w:color="auto"/>
              <w:bottom w:val="single" w:sz="8" w:space="0" w:color="auto"/>
              <w:right w:val="nil"/>
            </w:tcBorders>
            <w:shd w:val="clear" w:color="auto" w:fill="auto"/>
            <w:noWrap/>
            <w:vAlign w:val="bottom"/>
            <w:hideMark/>
          </w:tcPr>
          <w:p w14:paraId="3EDFDC38"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10.8</w:t>
            </w:r>
          </w:p>
        </w:tc>
        <w:tc>
          <w:tcPr>
            <w:tcW w:w="960" w:type="dxa"/>
            <w:tcBorders>
              <w:top w:val="nil"/>
              <w:left w:val="nil"/>
              <w:bottom w:val="single" w:sz="8" w:space="0" w:color="auto"/>
              <w:right w:val="single" w:sz="8" w:space="0" w:color="auto"/>
            </w:tcBorders>
            <w:shd w:val="clear" w:color="auto" w:fill="auto"/>
            <w:noWrap/>
            <w:vAlign w:val="bottom"/>
            <w:hideMark/>
          </w:tcPr>
          <w:p w14:paraId="2D101F65"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16.2</w:t>
            </w:r>
          </w:p>
        </w:tc>
        <w:tc>
          <w:tcPr>
            <w:tcW w:w="1704" w:type="dxa"/>
            <w:tcBorders>
              <w:top w:val="nil"/>
              <w:left w:val="nil"/>
              <w:bottom w:val="single" w:sz="8" w:space="0" w:color="auto"/>
              <w:right w:val="single" w:sz="8" w:space="0" w:color="auto"/>
            </w:tcBorders>
            <w:shd w:val="clear" w:color="auto" w:fill="auto"/>
            <w:noWrap/>
            <w:vAlign w:val="bottom"/>
            <w:hideMark/>
          </w:tcPr>
          <w:p w14:paraId="5E91315E"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14</w:t>
            </w:r>
          </w:p>
        </w:tc>
        <w:tc>
          <w:tcPr>
            <w:tcW w:w="1620" w:type="dxa"/>
            <w:tcBorders>
              <w:top w:val="nil"/>
              <w:left w:val="nil"/>
              <w:bottom w:val="single" w:sz="8" w:space="0" w:color="auto"/>
              <w:right w:val="single" w:sz="8" w:space="0" w:color="auto"/>
            </w:tcBorders>
            <w:shd w:val="clear" w:color="auto" w:fill="auto"/>
            <w:noWrap/>
            <w:vAlign w:val="bottom"/>
            <w:hideMark/>
          </w:tcPr>
          <w:p w14:paraId="031FCE86" w14:textId="77777777" w:rsidR="002A29A7" w:rsidRPr="002A29A7" w:rsidRDefault="002A29A7" w:rsidP="002A29A7">
            <w:pPr>
              <w:overflowPunct/>
              <w:autoSpaceDE/>
              <w:autoSpaceDN/>
              <w:adjustRightInd/>
              <w:spacing w:after="0"/>
              <w:jc w:val="center"/>
              <w:textAlignment w:val="auto"/>
              <w:rPr>
                <w:rFonts w:ascii="Calibri" w:hAnsi="Calibri" w:cs="Calibri"/>
                <w:color w:val="000000"/>
                <w:sz w:val="22"/>
                <w:szCs w:val="22"/>
                <w:lang w:val="en-US"/>
              </w:rPr>
            </w:pPr>
            <w:r w:rsidRPr="002A29A7">
              <w:rPr>
                <w:rFonts w:ascii="Calibri" w:hAnsi="Calibri" w:cs="Calibri"/>
                <w:color w:val="000000"/>
                <w:sz w:val="22"/>
                <w:szCs w:val="22"/>
                <w:lang w:val="en-US"/>
              </w:rPr>
              <w:t>8.1</w:t>
            </w:r>
          </w:p>
        </w:tc>
      </w:tr>
    </w:tbl>
    <w:p w14:paraId="1751ED7E" w14:textId="3D10BE49" w:rsidR="00260BC4" w:rsidRDefault="00260BC4" w:rsidP="00144B60">
      <w:pPr>
        <w:pStyle w:val="ListParagraph"/>
        <w:ind w:left="360"/>
      </w:pPr>
    </w:p>
    <w:p w14:paraId="7E16B74F" w14:textId="73BB9B58" w:rsidR="00260BC4" w:rsidRDefault="00260BC4" w:rsidP="00260BC4">
      <w:pPr>
        <w:pStyle w:val="Heading1"/>
      </w:pPr>
      <w:r>
        <w:lastRenderedPageBreak/>
        <w:t>6</w:t>
      </w:r>
      <w:r>
        <w:tab/>
        <w:t>REFSENS</w:t>
      </w:r>
    </w:p>
    <w:p w14:paraId="789954E5" w14:textId="7A1B00C2" w:rsidR="00571FF3" w:rsidRPr="00571FF3" w:rsidRDefault="00571FF3" w:rsidP="00571FF3">
      <w:pPr>
        <w:pStyle w:val="Heading2"/>
      </w:pPr>
      <w:r>
        <w:t>6.</w:t>
      </w:r>
      <w:r w:rsidRPr="006376BE">
        <w:t>1</w:t>
      </w:r>
      <w:r w:rsidRPr="006376BE">
        <w:tab/>
      </w:r>
      <w:r>
        <w:t>Contiguous Allocations</w:t>
      </w:r>
    </w:p>
    <w:p w14:paraId="212CAD68" w14:textId="1D49D360" w:rsidR="00AD1C1E" w:rsidRDefault="00260BC4" w:rsidP="00260BC4">
      <w:r>
        <w:t>As with single CC, REFSENS for large CA BW &gt; 40MHz</w:t>
      </w:r>
      <w:r w:rsidR="00CC5BAA">
        <w:t>, such as 45M and 50M,</w:t>
      </w:r>
      <w:r>
        <w:t xml:space="preserve"> will be affected</w:t>
      </w:r>
      <w:r w:rsidR="00CC5BAA">
        <w:t>,</w:t>
      </w:r>
      <w:r>
        <w:t xml:space="preserve"> and MSD would be required. The only difference is that the TX distortion is spread across 2 CCs and MSD must be derived for each CC. </w:t>
      </w:r>
    </w:p>
    <w:p w14:paraId="45E582C6" w14:textId="05194149" w:rsidR="00AD1C1E" w:rsidRDefault="00AD1C1E" w:rsidP="00260BC4">
      <w:r w:rsidRPr="00AD1C1E">
        <w:rPr>
          <w:b/>
          <w:bCs/>
        </w:rPr>
        <w:t>Observation 3:</w:t>
      </w:r>
      <w:r>
        <w:t xml:space="preserve"> TX distortion with single CC wide BW is like TX distortion with 1UL/2DLCA, but distortion is spread across 2 CCs.</w:t>
      </w:r>
      <w:r w:rsidR="000E3A8A">
        <w:t xml:space="preserve"> Only outer RB allocations will require MSD.</w:t>
      </w:r>
    </w:p>
    <w:p w14:paraId="1B3F4BEB" w14:textId="0C760A3D" w:rsidR="00260BC4" w:rsidRDefault="00260BC4" w:rsidP="00260BC4">
      <w:r>
        <w:t>Depending on the CA BW, the component carrier BWs, and the order of component carrier BWs, the TX distortion may not land inside the component carrier for which there will be no MSD. The analysis for the various combinations is shown below</w:t>
      </w:r>
      <w:r w:rsidR="00CC5BAA">
        <w:t xml:space="preserve"> in Table 6.1</w:t>
      </w:r>
      <w:r>
        <w:t xml:space="preserve">. The proposal for </w:t>
      </w:r>
      <w:r w:rsidR="00000042">
        <w:t xml:space="preserve">MSD is shown in Table </w:t>
      </w:r>
      <w:r w:rsidR="00CC5BAA">
        <w:t>6.2</w:t>
      </w:r>
      <w:r w:rsidR="00000042">
        <w:t xml:space="preserve">. When the combination is not listed, there will be no MSD for that combination, so Table </w:t>
      </w:r>
      <w:r w:rsidR="00CC5BAA">
        <w:t xml:space="preserve">6.2 </w:t>
      </w:r>
      <w:r w:rsidR="00000042">
        <w:t>will only list the REFSENS exceptions.</w:t>
      </w:r>
    </w:p>
    <w:p w14:paraId="5E66BEC0" w14:textId="7301C7FF" w:rsidR="00CC5BAA" w:rsidRDefault="00AD1C1E" w:rsidP="00313EDD">
      <w:pPr>
        <w:ind w:firstLine="284"/>
      </w:pPr>
      <w:r w:rsidRPr="00876EAF">
        <w:rPr>
          <w:b/>
          <w:bCs/>
        </w:rPr>
        <w:t xml:space="preserve">Proposal </w:t>
      </w:r>
      <w:r>
        <w:rPr>
          <w:b/>
          <w:bCs/>
        </w:rPr>
        <w:t>3</w:t>
      </w:r>
      <w:r>
        <w:t xml:space="preserve">: </w:t>
      </w:r>
      <w:r w:rsidR="001C7AD9">
        <w:t>For contiguous allocations, a</w:t>
      </w:r>
      <w:r>
        <w:t>pply MSD</w:t>
      </w:r>
      <w:r w:rsidR="001C7AD9">
        <w:t xml:space="preserve"> and UL configuration</w:t>
      </w:r>
      <w:r>
        <w:t xml:space="preserve"> as shown in Table 6.</w:t>
      </w:r>
      <w:r w:rsidR="00610604">
        <w:t>1.</w:t>
      </w:r>
      <w:r>
        <w:t>2.</w:t>
      </w:r>
      <w:r w:rsidR="001C7AD9">
        <w:t xml:space="preserve"> The RB boundary for contiguous allocations where no MSD applies is shown in Table 6.</w:t>
      </w:r>
      <w:r w:rsidR="00610604">
        <w:t>1.</w:t>
      </w:r>
      <w:r w:rsidR="001C7AD9">
        <w:t>3.</w:t>
      </w:r>
    </w:p>
    <w:p w14:paraId="710C1493" w14:textId="7A672264" w:rsidR="00B06AAF" w:rsidRDefault="00554C62" w:rsidP="00260BC4">
      <w:r w:rsidRPr="00554C62">
        <w:rPr>
          <w:noProof/>
        </w:rPr>
        <w:drawing>
          <wp:inline distT="0" distB="0" distL="0" distR="0" wp14:anchorId="57005F50" wp14:editId="1FB8736F">
            <wp:extent cx="6120765" cy="236791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2367915"/>
                    </a:xfrm>
                    <a:prstGeom prst="rect">
                      <a:avLst/>
                    </a:prstGeom>
                    <a:noFill/>
                    <a:ln>
                      <a:noFill/>
                    </a:ln>
                  </pic:spPr>
                </pic:pic>
              </a:graphicData>
            </a:graphic>
          </wp:inline>
        </w:drawing>
      </w:r>
    </w:p>
    <w:p w14:paraId="61DEA2C0" w14:textId="4DF72F30" w:rsidR="00CC5BAA" w:rsidRDefault="00CC5BAA" w:rsidP="00260BC4">
      <w:r w:rsidRPr="00CC5BAA">
        <w:rPr>
          <w:b/>
          <w:bCs/>
        </w:rPr>
        <w:t>Table 6.1</w:t>
      </w:r>
      <w:r w:rsidR="00554C62">
        <w:rPr>
          <w:b/>
          <w:bCs/>
        </w:rPr>
        <w:t>.1</w:t>
      </w:r>
      <w:r>
        <w:t xml:space="preserve"> REFENS analysis</w:t>
      </w:r>
    </w:p>
    <w:p w14:paraId="76A86F07" w14:textId="24BA5F16" w:rsidR="00B06AAF" w:rsidRDefault="00CC5BAA" w:rsidP="00260BC4">
      <w:r>
        <w:t>A summary of the MSD per CC is shown in the Table 6.</w:t>
      </w:r>
      <w:r w:rsidR="00554C62">
        <w:t>1.</w:t>
      </w:r>
      <w:r>
        <w:t>2</w:t>
      </w:r>
      <w:r w:rsidR="00554C62">
        <w:t>. The UL RBs are positioned closest to DL band</w:t>
      </w:r>
      <w:r>
        <w:t xml:space="preserve">. An alternative to not listing </w:t>
      </w:r>
      <w:r w:rsidR="00610604">
        <w:t xml:space="preserve">any </w:t>
      </w:r>
      <w:r>
        <w:t>MSD but changing the UL position of the allocation is shown in the subsequent Table 6.</w:t>
      </w:r>
      <w:r w:rsidR="00554C62">
        <w:t>1.</w:t>
      </w:r>
      <w:r>
        <w:t>3.</w:t>
      </w:r>
      <w:r w:rsidR="00610604">
        <w:t xml:space="preserve"> Or, one can say that no MSD applies when the RB end2 of the contiguous allocation is &lt; the value in Table 6.1.3.</w:t>
      </w:r>
    </w:p>
    <w:p w14:paraId="43A5C55D" w14:textId="20B67B90" w:rsidR="00B06AAF" w:rsidRDefault="00554C62" w:rsidP="00260BC4">
      <w:r w:rsidRPr="00554C62">
        <w:rPr>
          <w:noProof/>
        </w:rPr>
        <w:drawing>
          <wp:inline distT="0" distB="0" distL="0" distR="0" wp14:anchorId="2ECB0EBE" wp14:editId="6B019C20">
            <wp:extent cx="6120765" cy="1139825"/>
            <wp:effectExtent l="0" t="0" r="0" b="317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1139825"/>
                    </a:xfrm>
                    <a:prstGeom prst="rect">
                      <a:avLst/>
                    </a:prstGeom>
                    <a:noFill/>
                    <a:ln>
                      <a:noFill/>
                    </a:ln>
                  </pic:spPr>
                </pic:pic>
              </a:graphicData>
            </a:graphic>
          </wp:inline>
        </w:drawing>
      </w:r>
    </w:p>
    <w:p w14:paraId="4BAC65F7" w14:textId="7E0A47D0" w:rsidR="00CC5BAA" w:rsidRDefault="00CC5BAA" w:rsidP="00260BC4">
      <w:r w:rsidRPr="00CC5BAA">
        <w:rPr>
          <w:b/>
          <w:bCs/>
        </w:rPr>
        <w:t>Table 6.</w:t>
      </w:r>
      <w:r w:rsidR="00554C62">
        <w:rPr>
          <w:b/>
          <w:bCs/>
        </w:rPr>
        <w:t>1.2</w:t>
      </w:r>
      <w:r>
        <w:t xml:space="preserve"> MSD Summary</w:t>
      </w:r>
      <w:r w:rsidR="001C7AD9">
        <w:t xml:space="preserve"> for contiguous allocations</w:t>
      </w:r>
    </w:p>
    <w:p w14:paraId="477E6738" w14:textId="25D84D67" w:rsidR="00CC5BAA" w:rsidRDefault="000E3A8A" w:rsidP="00260BC4">
      <w:r w:rsidRPr="000E3A8A">
        <w:rPr>
          <w:noProof/>
        </w:rPr>
        <w:drawing>
          <wp:inline distT="0" distB="0" distL="0" distR="0" wp14:anchorId="7B3D5374" wp14:editId="28977690">
            <wp:extent cx="3981450" cy="1191103"/>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97177" cy="1195808"/>
                    </a:xfrm>
                    <a:prstGeom prst="rect">
                      <a:avLst/>
                    </a:prstGeom>
                    <a:noFill/>
                    <a:ln>
                      <a:noFill/>
                    </a:ln>
                  </pic:spPr>
                </pic:pic>
              </a:graphicData>
            </a:graphic>
          </wp:inline>
        </w:drawing>
      </w:r>
    </w:p>
    <w:p w14:paraId="4660C33F" w14:textId="185480ED" w:rsidR="00260BC4" w:rsidRDefault="00CC5BAA" w:rsidP="00AD1C1E">
      <w:r w:rsidRPr="00CC5BAA">
        <w:rPr>
          <w:b/>
          <w:bCs/>
        </w:rPr>
        <w:t>Table 6.</w:t>
      </w:r>
      <w:r w:rsidR="00554C62">
        <w:rPr>
          <w:b/>
          <w:bCs/>
        </w:rPr>
        <w:t>1.3</w:t>
      </w:r>
      <w:r>
        <w:t xml:space="preserve"> UL position showing last RB position of the </w:t>
      </w:r>
      <w:r w:rsidR="001C7AD9">
        <w:t xml:space="preserve">contiguous </w:t>
      </w:r>
      <w:r>
        <w:t>RB allocation for no MSD</w:t>
      </w:r>
    </w:p>
    <w:p w14:paraId="04C20D41" w14:textId="22AD5780" w:rsidR="00571FF3" w:rsidRPr="00571FF3" w:rsidRDefault="00571FF3" w:rsidP="00571FF3">
      <w:pPr>
        <w:pStyle w:val="Heading2"/>
      </w:pPr>
      <w:r>
        <w:lastRenderedPageBreak/>
        <w:t>6.</w:t>
      </w:r>
      <w:r w:rsidR="00554C62">
        <w:t>2</w:t>
      </w:r>
      <w:r w:rsidRPr="006376BE">
        <w:tab/>
      </w:r>
      <w:r>
        <w:t>Non-contiguous Allocations</w:t>
      </w:r>
    </w:p>
    <w:p w14:paraId="7AD03C6E" w14:textId="39FE3801" w:rsidR="00554C62" w:rsidRDefault="00B17911" w:rsidP="00AD1C1E">
      <w:r>
        <w:t>Like contiguous allocations where MSD applies for 5</w:t>
      </w:r>
      <w:r w:rsidRPr="00B17911">
        <w:rPr>
          <w:vertAlign w:val="superscript"/>
        </w:rPr>
        <w:t>th</w:t>
      </w:r>
      <w:r>
        <w:t xml:space="preserve"> order TX distortion, non-contiguous allocations will require MSD due to TX IM5</w:t>
      </w:r>
      <w:r w:rsidR="00CB293D">
        <w:t xml:space="preserve"> and IM7</w:t>
      </w:r>
      <w:r>
        <w:t xml:space="preserve"> distortion. The distortion will also be spread across 2CCs or only a single CC depending on the RB allocation. </w:t>
      </w:r>
      <w:r w:rsidR="00554C62" w:rsidRPr="003D2FD5">
        <w:rPr>
          <w:highlight w:val="yellow"/>
        </w:rPr>
        <w:t xml:space="preserve">The analysis </w:t>
      </w:r>
      <w:r w:rsidR="003D2FD5" w:rsidRPr="003D2FD5">
        <w:rPr>
          <w:highlight w:val="yellow"/>
        </w:rPr>
        <w:t xml:space="preserve">in Table 6.2.1 </w:t>
      </w:r>
      <w:r w:rsidR="00554C62" w:rsidRPr="003D2FD5">
        <w:rPr>
          <w:highlight w:val="yellow"/>
        </w:rPr>
        <w:t xml:space="preserve">assumes </w:t>
      </w:r>
      <w:r w:rsidR="00CB293D" w:rsidRPr="003D2FD5">
        <w:rPr>
          <w:highlight w:val="yellow"/>
        </w:rPr>
        <w:t>that enough MPR is taken to meet the general spurious emission requirements.</w:t>
      </w:r>
      <w:r w:rsidR="00CB293D">
        <w:t xml:space="preserve"> </w:t>
      </w:r>
      <w:r w:rsidR="00554C62">
        <w:t>The MSD is derived with the RB allocation chosen and positioned so that the IM5</w:t>
      </w:r>
      <w:r w:rsidR="00CB293D">
        <w:t xml:space="preserve"> and/or IMD7</w:t>
      </w:r>
      <w:r w:rsidR="00554C62">
        <w:t xml:space="preserve"> is wholly contained in the victim CC BW. The MSD is summarized in Table 6.2.2.</w:t>
      </w:r>
    </w:p>
    <w:p w14:paraId="44604142" w14:textId="7B28638B" w:rsidR="00554C62" w:rsidRDefault="000D455B" w:rsidP="00554C62">
      <w:pPr>
        <w:ind w:firstLine="284"/>
      </w:pPr>
      <w:r>
        <w:rPr>
          <w:b/>
          <w:bCs/>
        </w:rPr>
        <w:t>Observation 4</w:t>
      </w:r>
      <w:r w:rsidR="00554C62">
        <w:t xml:space="preserve">: For non-contiguous allocations, MSD and UL configuration </w:t>
      </w:r>
      <w:r>
        <w:t>is</w:t>
      </w:r>
      <w:r w:rsidR="00554C62">
        <w:t xml:space="preserve"> shown in Table 6.2.2</w:t>
      </w:r>
      <w:r w:rsidR="00DC0689">
        <w:t xml:space="preserve"> </w:t>
      </w:r>
      <w:r>
        <w:t>assuming MPR is taken to meet general spurious emission requirement</w:t>
      </w:r>
      <w:r w:rsidR="00554C62">
        <w:t xml:space="preserve">. </w:t>
      </w:r>
      <w:r>
        <w:t>MSD values will be higher with less MPR.</w:t>
      </w:r>
    </w:p>
    <w:p w14:paraId="01138519" w14:textId="6DF489A0" w:rsidR="001C598D" w:rsidRDefault="00752D31" w:rsidP="00AD1C1E">
      <w:r w:rsidRPr="00752D31">
        <w:drawing>
          <wp:inline distT="0" distB="0" distL="0" distR="0" wp14:anchorId="7BB6EA7A" wp14:editId="5C8544BC">
            <wp:extent cx="6120765" cy="17786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1778635"/>
                    </a:xfrm>
                    <a:prstGeom prst="rect">
                      <a:avLst/>
                    </a:prstGeom>
                    <a:noFill/>
                    <a:ln>
                      <a:noFill/>
                    </a:ln>
                  </pic:spPr>
                </pic:pic>
              </a:graphicData>
            </a:graphic>
          </wp:inline>
        </w:drawing>
      </w:r>
    </w:p>
    <w:p w14:paraId="3CC816EB" w14:textId="071CAA0C" w:rsidR="001C598D" w:rsidRDefault="00554C62" w:rsidP="00AD1C1E">
      <w:r w:rsidRPr="00CC5BAA">
        <w:rPr>
          <w:b/>
          <w:bCs/>
        </w:rPr>
        <w:t>Table 6.</w:t>
      </w:r>
      <w:r>
        <w:rPr>
          <w:b/>
          <w:bCs/>
        </w:rPr>
        <w:t>2.1</w:t>
      </w:r>
      <w:r>
        <w:t xml:space="preserve"> REFENS analysis</w:t>
      </w:r>
      <w:r w:rsidR="000D455B">
        <w:t xml:space="preserve"> for various combinations</w:t>
      </w:r>
    </w:p>
    <w:p w14:paraId="71B437B8" w14:textId="77777777" w:rsidR="00376C24" w:rsidRDefault="00376C24" w:rsidP="00AD1C1E"/>
    <w:p w14:paraId="2494D6A2" w14:textId="3C3334D1" w:rsidR="00DC0689" w:rsidRDefault="00752D31" w:rsidP="00DC0689">
      <w:pPr>
        <w:rPr>
          <w:noProof/>
        </w:rPr>
      </w:pPr>
      <w:r w:rsidRPr="00752D31">
        <w:drawing>
          <wp:inline distT="0" distB="0" distL="0" distR="0" wp14:anchorId="54123C42" wp14:editId="0E1E883A">
            <wp:extent cx="6120765" cy="219138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2191385"/>
                    </a:xfrm>
                    <a:prstGeom prst="rect">
                      <a:avLst/>
                    </a:prstGeom>
                    <a:noFill/>
                    <a:ln>
                      <a:noFill/>
                    </a:ln>
                  </pic:spPr>
                </pic:pic>
              </a:graphicData>
            </a:graphic>
          </wp:inline>
        </w:drawing>
      </w:r>
    </w:p>
    <w:p w14:paraId="025304F1" w14:textId="6AE93344" w:rsidR="000D455B" w:rsidRDefault="000D455B" w:rsidP="000D455B">
      <w:r w:rsidRPr="00CC5BAA">
        <w:rPr>
          <w:b/>
          <w:bCs/>
        </w:rPr>
        <w:t>Table 6.</w:t>
      </w:r>
      <w:r>
        <w:rPr>
          <w:b/>
          <w:bCs/>
        </w:rPr>
        <w:t>2.2</w:t>
      </w:r>
      <w:r>
        <w:t xml:space="preserve"> IMD MSD Summary for non-contiguous allocations </w:t>
      </w:r>
      <w:r w:rsidR="00F149CD">
        <w:t>assuming MPR is taken to meet general spurious emissions</w:t>
      </w:r>
    </w:p>
    <w:p w14:paraId="1EA4A19E" w14:textId="3F3CFC80" w:rsidR="00DC0689" w:rsidRDefault="00DC0689" w:rsidP="00DC0689">
      <w:pPr>
        <w:rPr>
          <w:noProof/>
        </w:rPr>
      </w:pPr>
    </w:p>
    <w:p w14:paraId="21AF9AB6" w14:textId="68CEF448" w:rsidR="00DC0689" w:rsidRDefault="00DC0689" w:rsidP="00DC0689">
      <w:pPr>
        <w:rPr>
          <w:noProof/>
        </w:rPr>
      </w:pPr>
    </w:p>
    <w:p w14:paraId="667E68E3" w14:textId="1A8ABA8A" w:rsidR="00DC0689" w:rsidRDefault="00DC0689" w:rsidP="00DC0689">
      <w:pPr>
        <w:rPr>
          <w:noProof/>
        </w:rPr>
      </w:pPr>
    </w:p>
    <w:p w14:paraId="619601DE" w14:textId="52D29C28" w:rsidR="00DC0689" w:rsidRDefault="00DC0689" w:rsidP="00DC0689">
      <w:pPr>
        <w:rPr>
          <w:noProof/>
        </w:rPr>
      </w:pPr>
    </w:p>
    <w:p w14:paraId="5544FEC9" w14:textId="0E6BFAF3" w:rsidR="00554C62" w:rsidRDefault="00554C62" w:rsidP="00AD1C1E"/>
    <w:p w14:paraId="5F86E9E8" w14:textId="29CA71E0" w:rsidR="000D455B" w:rsidRDefault="000D455B" w:rsidP="00AD1C1E"/>
    <w:p w14:paraId="567F64BB" w14:textId="70484946" w:rsidR="00376C24" w:rsidRDefault="00376C24" w:rsidP="00AD1C1E"/>
    <w:p w14:paraId="202FFF7D" w14:textId="77777777" w:rsidR="00376C24" w:rsidRPr="00144B60" w:rsidRDefault="00376C24" w:rsidP="00AD1C1E">
      <w:bookmarkStart w:id="1" w:name="_GoBack"/>
      <w:bookmarkEnd w:id="1"/>
    </w:p>
    <w:p w14:paraId="7B845ED2" w14:textId="6DBC6130" w:rsidR="008D3AD6" w:rsidRDefault="00260BC4" w:rsidP="008D3AD6">
      <w:pPr>
        <w:pStyle w:val="Heading1"/>
      </w:pPr>
      <w:r>
        <w:lastRenderedPageBreak/>
        <w:t>7</w:t>
      </w:r>
      <w:r w:rsidR="008D3AD6">
        <w:tab/>
        <w:t>Conclusion</w:t>
      </w:r>
    </w:p>
    <w:p w14:paraId="179B88A4" w14:textId="3FDA393A" w:rsidR="00947B31" w:rsidRDefault="00947B31" w:rsidP="00947B31">
      <w:r>
        <w:t xml:space="preserve">We presented simulated A-MPR results for </w:t>
      </w:r>
      <w:r w:rsidRPr="00EA0331">
        <w:t>CA_n7B</w:t>
      </w:r>
      <w:r>
        <w:t>.</w:t>
      </w:r>
    </w:p>
    <w:p w14:paraId="5798BD00" w14:textId="73A723E3" w:rsidR="00545B26" w:rsidRDefault="00545B26" w:rsidP="00545B26">
      <w:pPr>
        <w:rPr>
          <w:i/>
          <w:iCs/>
        </w:rPr>
      </w:pPr>
      <w:r w:rsidRPr="00E355CC">
        <w:rPr>
          <w:b/>
          <w:bCs/>
          <w:i/>
          <w:iCs/>
        </w:rPr>
        <w:t xml:space="preserve">Observation 1: </w:t>
      </w:r>
      <w:r w:rsidRPr="00E355CC">
        <w:rPr>
          <w:i/>
          <w:iCs/>
        </w:rPr>
        <w:t xml:space="preserve">Needed AMPR </w:t>
      </w:r>
      <w:r>
        <w:rPr>
          <w:i/>
          <w:iCs/>
        </w:rPr>
        <w:t xml:space="preserve">for contiguous allocations </w:t>
      </w:r>
      <w:r w:rsidRPr="00E355CC">
        <w:rPr>
          <w:i/>
          <w:iCs/>
        </w:rPr>
        <w:t xml:space="preserve">varies </w:t>
      </w:r>
      <w:r w:rsidR="00C74380">
        <w:rPr>
          <w:i/>
          <w:iCs/>
        </w:rPr>
        <w:t>approximately</w:t>
      </w:r>
      <w:r w:rsidR="00C74380" w:rsidRPr="00E355CC">
        <w:rPr>
          <w:i/>
          <w:iCs/>
        </w:rPr>
        <w:t xml:space="preserve"> </w:t>
      </w:r>
      <w:r w:rsidRPr="00E355CC">
        <w:rPr>
          <w:i/>
          <w:iCs/>
        </w:rPr>
        <w:t>according to the overall BW_CA, independent of the constituent bandwidths.</w:t>
      </w:r>
    </w:p>
    <w:p w14:paraId="656099D1" w14:textId="15B6367E" w:rsidR="00545B26" w:rsidRDefault="00545B26" w:rsidP="00545B26">
      <w:pPr>
        <w:rPr>
          <w:i/>
          <w:iCs/>
        </w:rPr>
      </w:pPr>
      <w:r w:rsidRPr="00E355CC">
        <w:rPr>
          <w:b/>
          <w:bCs/>
          <w:i/>
          <w:iCs/>
        </w:rPr>
        <w:t xml:space="preserve">Observation </w:t>
      </w:r>
      <w:r>
        <w:rPr>
          <w:b/>
          <w:bCs/>
          <w:i/>
          <w:iCs/>
        </w:rPr>
        <w:t>2</w:t>
      </w:r>
      <w:r w:rsidRPr="00E355CC">
        <w:rPr>
          <w:b/>
          <w:bCs/>
          <w:i/>
          <w:iCs/>
        </w:rPr>
        <w:t xml:space="preserve">: </w:t>
      </w:r>
      <w:r w:rsidRPr="00E355CC">
        <w:rPr>
          <w:i/>
          <w:iCs/>
        </w:rPr>
        <w:t xml:space="preserve">Needed AMPR </w:t>
      </w:r>
      <w:r>
        <w:rPr>
          <w:i/>
          <w:iCs/>
        </w:rPr>
        <w:t xml:space="preserve">for non-contiguous allocations </w:t>
      </w:r>
      <w:r w:rsidRPr="00E355CC">
        <w:rPr>
          <w:i/>
          <w:iCs/>
        </w:rPr>
        <w:t xml:space="preserve">varies </w:t>
      </w:r>
      <w:r w:rsidR="00C74380">
        <w:rPr>
          <w:i/>
          <w:iCs/>
        </w:rPr>
        <w:t>approximately</w:t>
      </w:r>
      <w:r w:rsidR="00C74380" w:rsidRPr="00E355CC">
        <w:rPr>
          <w:i/>
          <w:iCs/>
        </w:rPr>
        <w:t xml:space="preserve"> </w:t>
      </w:r>
      <w:r w:rsidRPr="00E355CC">
        <w:rPr>
          <w:i/>
          <w:iCs/>
        </w:rPr>
        <w:t>according to the overall BW_CA, independent of the constituent bandwidths.</w:t>
      </w:r>
    </w:p>
    <w:p w14:paraId="0A55313B" w14:textId="5A2D4BBC" w:rsidR="00BE1C65" w:rsidRDefault="00BE1C65" w:rsidP="00545B26">
      <w:pPr>
        <w:rPr>
          <w:i/>
          <w:iCs/>
        </w:rPr>
      </w:pPr>
      <w:r>
        <w:rPr>
          <w:b/>
          <w:bCs/>
          <w:i/>
          <w:iCs/>
        </w:rPr>
        <w:t xml:space="preserve">Proposal 1: </w:t>
      </w:r>
      <w:r w:rsidR="00876EAF" w:rsidRPr="00876EAF">
        <w:rPr>
          <w:i/>
          <w:iCs/>
        </w:rPr>
        <w:t>Contiguous</w:t>
      </w:r>
      <w:r w:rsidR="00876EAF" w:rsidRPr="00876EAF">
        <w:t xml:space="preserve"> </w:t>
      </w:r>
      <w:r w:rsidR="00E176D8">
        <w:rPr>
          <w:i/>
          <w:iCs/>
        </w:rPr>
        <w:t>AMPR values proposed in section 5</w:t>
      </w:r>
      <w:r w:rsidR="00876EAF">
        <w:rPr>
          <w:i/>
          <w:iCs/>
        </w:rPr>
        <w:t>.1</w:t>
      </w:r>
      <w:r w:rsidR="00E176D8">
        <w:rPr>
          <w:i/>
          <w:iCs/>
        </w:rPr>
        <w:t>.</w:t>
      </w:r>
    </w:p>
    <w:p w14:paraId="16BF4CB5" w14:textId="6F08A1AB" w:rsidR="00876EAF" w:rsidRDefault="00876EAF" w:rsidP="00545B26">
      <w:pPr>
        <w:rPr>
          <w:i/>
          <w:iCs/>
        </w:rPr>
      </w:pPr>
      <w:r>
        <w:rPr>
          <w:b/>
          <w:bCs/>
          <w:i/>
          <w:iCs/>
        </w:rPr>
        <w:t xml:space="preserve">Proposal 2: </w:t>
      </w:r>
      <w:r>
        <w:rPr>
          <w:i/>
          <w:iCs/>
        </w:rPr>
        <w:t>Non-c</w:t>
      </w:r>
      <w:r w:rsidRPr="00876EAF">
        <w:rPr>
          <w:i/>
          <w:iCs/>
        </w:rPr>
        <w:t>ontiguous</w:t>
      </w:r>
      <w:r w:rsidRPr="00876EAF">
        <w:t xml:space="preserve"> </w:t>
      </w:r>
      <w:r>
        <w:rPr>
          <w:i/>
          <w:iCs/>
        </w:rPr>
        <w:t>AMPR values proposed in section 5.2.</w:t>
      </w:r>
    </w:p>
    <w:p w14:paraId="4DF8781A" w14:textId="1A016395" w:rsidR="00554C62" w:rsidRPr="00AD1C1E" w:rsidRDefault="00AD1C1E" w:rsidP="00545B26">
      <w:pPr>
        <w:rPr>
          <w:i/>
          <w:iCs/>
        </w:rPr>
      </w:pPr>
      <w:r w:rsidRPr="00AD1C1E">
        <w:rPr>
          <w:b/>
          <w:bCs/>
          <w:i/>
          <w:iCs/>
        </w:rPr>
        <w:t>Observation 3:</w:t>
      </w:r>
      <w:r w:rsidRPr="00AD1C1E">
        <w:rPr>
          <w:i/>
          <w:iCs/>
        </w:rPr>
        <w:t xml:space="preserve"> TX distortion with single CC wide BW is like TX distortion with </w:t>
      </w:r>
      <w:r>
        <w:rPr>
          <w:i/>
          <w:iCs/>
        </w:rPr>
        <w:t>1UL/2</w:t>
      </w:r>
      <w:r w:rsidRPr="00AD1C1E">
        <w:rPr>
          <w:i/>
          <w:iCs/>
        </w:rPr>
        <w:t>DLCA, but distortion is spread across 2 CCs</w:t>
      </w:r>
      <w:r w:rsidRPr="000E3A8A">
        <w:rPr>
          <w:i/>
          <w:iCs/>
        </w:rPr>
        <w:t>.</w:t>
      </w:r>
      <w:r w:rsidR="000E3A8A" w:rsidRPr="000E3A8A">
        <w:rPr>
          <w:i/>
          <w:iCs/>
        </w:rPr>
        <w:t xml:space="preserve"> Only outer RB allocations will require MSD.</w:t>
      </w:r>
    </w:p>
    <w:p w14:paraId="4A9CC273" w14:textId="3CB93DAA" w:rsidR="00E94F6B" w:rsidRDefault="00E94F6B" w:rsidP="00545B26">
      <w:pPr>
        <w:rPr>
          <w:i/>
          <w:iCs/>
        </w:rPr>
      </w:pPr>
      <w:r>
        <w:rPr>
          <w:b/>
          <w:bCs/>
          <w:i/>
          <w:iCs/>
        </w:rPr>
        <w:t>Proposal 3</w:t>
      </w:r>
      <w:r w:rsidRPr="001C7AD9">
        <w:rPr>
          <w:b/>
          <w:bCs/>
          <w:i/>
          <w:iCs/>
        </w:rPr>
        <w:t xml:space="preserve">: </w:t>
      </w:r>
      <w:r w:rsidR="001C7AD9" w:rsidRPr="001C7AD9">
        <w:rPr>
          <w:i/>
          <w:iCs/>
        </w:rPr>
        <w:t>For contiguous allocations, apply MSD and UL configuration as shown in Table 6</w:t>
      </w:r>
      <w:r w:rsidR="00554C62">
        <w:rPr>
          <w:i/>
          <w:iCs/>
        </w:rPr>
        <w:t>.1</w:t>
      </w:r>
      <w:r w:rsidR="001C7AD9" w:rsidRPr="001C7AD9">
        <w:rPr>
          <w:i/>
          <w:iCs/>
        </w:rPr>
        <w:t>.2. The RB boundary for contiguous allocations where no MSD applies is shown in Table 6.</w:t>
      </w:r>
      <w:r w:rsidR="00554C62">
        <w:rPr>
          <w:i/>
          <w:iCs/>
        </w:rPr>
        <w:t>1.</w:t>
      </w:r>
      <w:r w:rsidR="001C7AD9" w:rsidRPr="001C7AD9">
        <w:rPr>
          <w:i/>
          <w:iCs/>
        </w:rPr>
        <w:t>3.</w:t>
      </w:r>
    </w:p>
    <w:p w14:paraId="17BF8F14" w14:textId="4B5AAC90" w:rsidR="00554C62" w:rsidRPr="001C7AD9" w:rsidRDefault="000D455B" w:rsidP="00554C62">
      <w:pPr>
        <w:rPr>
          <w:i/>
          <w:iCs/>
        </w:rPr>
      </w:pPr>
      <w:r>
        <w:rPr>
          <w:b/>
          <w:bCs/>
          <w:i/>
          <w:iCs/>
        </w:rPr>
        <w:t>Observation</w:t>
      </w:r>
      <w:r w:rsidR="00554C62">
        <w:rPr>
          <w:b/>
          <w:bCs/>
          <w:i/>
          <w:iCs/>
        </w:rPr>
        <w:t xml:space="preserve"> 4</w:t>
      </w:r>
      <w:r w:rsidR="00554C62" w:rsidRPr="001C7AD9">
        <w:rPr>
          <w:b/>
          <w:bCs/>
          <w:i/>
          <w:iCs/>
        </w:rPr>
        <w:t xml:space="preserve">: </w:t>
      </w:r>
      <w:r w:rsidRPr="000D455B">
        <w:rPr>
          <w:i/>
          <w:iCs/>
        </w:rPr>
        <w:t>For non-contiguous allocations, MSD and UL configuration is shown in Table 6.2.2 assuming MPR is taken to meet general spurious emission requirement. MSD values will be higher with less MPR.</w:t>
      </w:r>
    </w:p>
    <w:p w14:paraId="297F67D8" w14:textId="77777777" w:rsidR="00554C62" w:rsidRPr="001C7AD9" w:rsidRDefault="00554C62" w:rsidP="00545B26">
      <w:pPr>
        <w:rPr>
          <w:i/>
          <w:iCs/>
        </w:rPr>
      </w:pPr>
    </w:p>
    <w:p w14:paraId="561E3900" w14:textId="08C2A3E2" w:rsidR="00165DA2" w:rsidRDefault="00260BC4" w:rsidP="00165DA2">
      <w:pPr>
        <w:pStyle w:val="Heading1"/>
      </w:pPr>
      <w:r>
        <w:t>8</w:t>
      </w:r>
      <w:r w:rsidR="00165DA2">
        <w:tab/>
        <w:t>Reference</w:t>
      </w:r>
    </w:p>
    <w:p w14:paraId="0328C645" w14:textId="6FE227FC" w:rsidR="008D3AD6" w:rsidRDefault="00165DA2" w:rsidP="008D3AD6">
      <w:r>
        <w:t>[1]</w:t>
      </w:r>
      <w:r w:rsidR="00947B31">
        <w:tab/>
      </w:r>
      <w:r w:rsidR="00947B31">
        <w:tab/>
        <w:t>TS 38.101-1 “User Equipment (UE) radio transmission and reception; Part 1: Range 1 Standalone,” 3GPP</w:t>
      </w:r>
    </w:p>
    <w:p w14:paraId="70FA2A26" w14:textId="1889C4E7" w:rsidR="0082094C" w:rsidRDefault="0082094C" w:rsidP="0082094C">
      <w:r>
        <w:t>[2]</w:t>
      </w:r>
      <w:r>
        <w:tab/>
      </w:r>
      <w:r>
        <w:tab/>
        <w:t>R4-1907168 “</w:t>
      </w:r>
      <w:r w:rsidRPr="0082094C">
        <w:rPr>
          <w:color w:val="000000"/>
          <w:lang w:val="en-US"/>
        </w:rPr>
        <w:t>n7 new channel bandwidths AMPR for B38 protection</w:t>
      </w:r>
      <w:r w:rsidRPr="0082094C">
        <w:t>,”</w:t>
      </w:r>
      <w:r>
        <w:t xml:space="preserve"> 3GPP RAN4#90-Bis, Xi’an, China, 8-12 </w:t>
      </w:r>
      <w:proofErr w:type="gramStart"/>
      <w:r>
        <w:t>April,</w:t>
      </w:r>
      <w:proofErr w:type="gramEnd"/>
      <w:r>
        <w:t xml:space="preserve"> 2019.</w:t>
      </w:r>
    </w:p>
    <w:p w14:paraId="5224DC64" w14:textId="77777777" w:rsidR="0082094C" w:rsidRPr="008D3AD6" w:rsidRDefault="0082094C" w:rsidP="008D3AD6"/>
    <w:sectPr w:rsidR="0082094C" w:rsidRPr="008D3AD6" w:rsidSect="00532474">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425"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45DE7" w14:textId="77777777" w:rsidR="007204D6" w:rsidRDefault="007204D6" w:rsidP="002B3503">
      <w:pPr>
        <w:spacing w:after="0"/>
      </w:pPr>
      <w:r>
        <w:separator/>
      </w:r>
    </w:p>
  </w:endnote>
  <w:endnote w:type="continuationSeparator" w:id="0">
    <w:p w14:paraId="3BAC3EFE" w14:textId="77777777" w:rsidR="007204D6" w:rsidRDefault="007204D6"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C13B" w14:textId="77777777" w:rsidR="00CB50D4" w:rsidRDefault="00CB50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E37D6" w14:textId="77777777" w:rsidR="00CB50D4" w:rsidRDefault="00CB50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3CD24" w14:textId="77777777" w:rsidR="00CB50D4" w:rsidRDefault="00CB50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59D23" w14:textId="77777777" w:rsidR="007204D6" w:rsidRDefault="007204D6" w:rsidP="002B3503">
      <w:pPr>
        <w:spacing w:after="0"/>
      </w:pPr>
      <w:r>
        <w:separator/>
      </w:r>
    </w:p>
  </w:footnote>
  <w:footnote w:type="continuationSeparator" w:id="0">
    <w:p w14:paraId="54F879C0" w14:textId="77777777" w:rsidR="007204D6" w:rsidRDefault="007204D6"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CB50D4" w:rsidRDefault="00CB50D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5B140" w14:textId="77777777" w:rsidR="00CB50D4" w:rsidRDefault="00CB50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999EF" w14:textId="77777777" w:rsidR="00CB50D4" w:rsidRDefault="00CB50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382405BA"/>
    <w:multiLevelType w:val="hybridMultilevel"/>
    <w:tmpl w:val="A39AE4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47CB0274"/>
    <w:multiLevelType w:val="hybridMultilevel"/>
    <w:tmpl w:val="A41088B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4B216A1B"/>
    <w:multiLevelType w:val="hybridMultilevel"/>
    <w:tmpl w:val="D7B4BC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4EA97E04"/>
    <w:multiLevelType w:val="hybridMultilevel"/>
    <w:tmpl w:val="4F40C29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52D04C19"/>
    <w:multiLevelType w:val="hybridMultilevel"/>
    <w:tmpl w:val="1A5C7AA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65C34436"/>
    <w:multiLevelType w:val="hybridMultilevel"/>
    <w:tmpl w:val="FE3623E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6D116BB1"/>
    <w:multiLevelType w:val="hybridMultilevel"/>
    <w:tmpl w:val="5A34D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6F2F64"/>
    <w:multiLevelType w:val="multilevel"/>
    <w:tmpl w:val="72D4BCFE"/>
    <w:lvl w:ilvl="0">
      <w:start w:val="5"/>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D8A63DF"/>
    <w:multiLevelType w:val="hybridMultilevel"/>
    <w:tmpl w:val="3F063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
  </w:num>
  <w:num w:numId="4">
    <w:abstractNumId w:val="7"/>
  </w:num>
  <w:num w:numId="5">
    <w:abstractNumId w:val="2"/>
  </w:num>
  <w:num w:numId="6">
    <w:abstractNumId w:val="12"/>
  </w:num>
  <w:num w:numId="7">
    <w:abstractNumId w:val="10"/>
  </w:num>
  <w:num w:numId="8">
    <w:abstractNumId w:val="4"/>
  </w:num>
  <w:num w:numId="9">
    <w:abstractNumId w:val="6"/>
  </w:num>
  <w:num w:numId="10">
    <w:abstractNumId w:val="3"/>
  </w:num>
  <w:num w:numId="11">
    <w:abstractNumId w:val="11"/>
  </w:num>
  <w:num w:numId="12">
    <w:abstractNumId w:val="8"/>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042"/>
    <w:rsid w:val="000008B4"/>
    <w:rsid w:val="00000953"/>
    <w:rsid w:val="00001871"/>
    <w:rsid w:val="000020D4"/>
    <w:rsid w:val="00020045"/>
    <w:rsid w:val="00022E5E"/>
    <w:rsid w:val="00046BA6"/>
    <w:rsid w:val="00056531"/>
    <w:rsid w:val="00066B40"/>
    <w:rsid w:val="00067E4B"/>
    <w:rsid w:val="00091F0B"/>
    <w:rsid w:val="00094E73"/>
    <w:rsid w:val="000A42E4"/>
    <w:rsid w:val="000A6473"/>
    <w:rsid w:val="000B4E56"/>
    <w:rsid w:val="000B5E8E"/>
    <w:rsid w:val="000B7337"/>
    <w:rsid w:val="000B7507"/>
    <w:rsid w:val="000C1BD4"/>
    <w:rsid w:val="000D455B"/>
    <w:rsid w:val="000E3A8A"/>
    <w:rsid w:val="000F0F26"/>
    <w:rsid w:val="000F2546"/>
    <w:rsid w:val="000F3D04"/>
    <w:rsid w:val="000F50EC"/>
    <w:rsid w:val="00101626"/>
    <w:rsid w:val="00111B4F"/>
    <w:rsid w:val="00111E52"/>
    <w:rsid w:val="00121072"/>
    <w:rsid w:val="00131B06"/>
    <w:rsid w:val="001364A1"/>
    <w:rsid w:val="0014443D"/>
    <w:rsid w:val="00144B60"/>
    <w:rsid w:val="0015000E"/>
    <w:rsid w:val="00152947"/>
    <w:rsid w:val="00160934"/>
    <w:rsid w:val="00160C85"/>
    <w:rsid w:val="0016131F"/>
    <w:rsid w:val="0016339D"/>
    <w:rsid w:val="00165DA2"/>
    <w:rsid w:val="00166CB8"/>
    <w:rsid w:val="00170E3C"/>
    <w:rsid w:val="001751A8"/>
    <w:rsid w:val="00191154"/>
    <w:rsid w:val="001953B8"/>
    <w:rsid w:val="001A37B5"/>
    <w:rsid w:val="001A3F53"/>
    <w:rsid w:val="001B5417"/>
    <w:rsid w:val="001B77A6"/>
    <w:rsid w:val="001C2855"/>
    <w:rsid w:val="001C598D"/>
    <w:rsid w:val="001C7AD9"/>
    <w:rsid w:val="001D73CC"/>
    <w:rsid w:val="001E2F1D"/>
    <w:rsid w:val="001E74C5"/>
    <w:rsid w:val="001F083D"/>
    <w:rsid w:val="001F7AEC"/>
    <w:rsid w:val="00205889"/>
    <w:rsid w:val="00207C42"/>
    <w:rsid w:val="002127E2"/>
    <w:rsid w:val="00214C87"/>
    <w:rsid w:val="00215035"/>
    <w:rsid w:val="00240251"/>
    <w:rsid w:val="00243E1F"/>
    <w:rsid w:val="0024748A"/>
    <w:rsid w:val="00260BC4"/>
    <w:rsid w:val="00270309"/>
    <w:rsid w:val="00291DDD"/>
    <w:rsid w:val="002A29A7"/>
    <w:rsid w:val="002A54C5"/>
    <w:rsid w:val="002A7181"/>
    <w:rsid w:val="002B3503"/>
    <w:rsid w:val="002F6A38"/>
    <w:rsid w:val="003033B3"/>
    <w:rsid w:val="00313EDD"/>
    <w:rsid w:val="003268EC"/>
    <w:rsid w:val="00331118"/>
    <w:rsid w:val="0034274F"/>
    <w:rsid w:val="00347DEA"/>
    <w:rsid w:val="003620BB"/>
    <w:rsid w:val="003738A1"/>
    <w:rsid w:val="00374300"/>
    <w:rsid w:val="00376C24"/>
    <w:rsid w:val="00377750"/>
    <w:rsid w:val="003777FE"/>
    <w:rsid w:val="003C2075"/>
    <w:rsid w:val="003C4A5F"/>
    <w:rsid w:val="003D2FD5"/>
    <w:rsid w:val="003F2E1D"/>
    <w:rsid w:val="003F318D"/>
    <w:rsid w:val="003F3824"/>
    <w:rsid w:val="00405BA3"/>
    <w:rsid w:val="00405E3B"/>
    <w:rsid w:val="00413BBB"/>
    <w:rsid w:val="004174DC"/>
    <w:rsid w:val="0042109F"/>
    <w:rsid w:val="00422A18"/>
    <w:rsid w:val="00426A90"/>
    <w:rsid w:val="0043450E"/>
    <w:rsid w:val="004353CD"/>
    <w:rsid w:val="00447BFD"/>
    <w:rsid w:val="00453BA5"/>
    <w:rsid w:val="00453E8D"/>
    <w:rsid w:val="00454E53"/>
    <w:rsid w:val="00464BAD"/>
    <w:rsid w:val="00466BB6"/>
    <w:rsid w:val="00470375"/>
    <w:rsid w:val="0047269F"/>
    <w:rsid w:val="00482477"/>
    <w:rsid w:val="00486376"/>
    <w:rsid w:val="00491386"/>
    <w:rsid w:val="00493B83"/>
    <w:rsid w:val="00494F18"/>
    <w:rsid w:val="00497F3F"/>
    <w:rsid w:val="004A41DA"/>
    <w:rsid w:val="004C0103"/>
    <w:rsid w:val="004C58F9"/>
    <w:rsid w:val="004D0C67"/>
    <w:rsid w:val="004D38A8"/>
    <w:rsid w:val="004D3D81"/>
    <w:rsid w:val="004E4BF3"/>
    <w:rsid w:val="005026F9"/>
    <w:rsid w:val="00532474"/>
    <w:rsid w:val="00534A6F"/>
    <w:rsid w:val="00545B26"/>
    <w:rsid w:val="00553FC9"/>
    <w:rsid w:val="00554C62"/>
    <w:rsid w:val="00560A63"/>
    <w:rsid w:val="0056195A"/>
    <w:rsid w:val="00564B2E"/>
    <w:rsid w:val="0056504C"/>
    <w:rsid w:val="00566E4B"/>
    <w:rsid w:val="00570B14"/>
    <w:rsid w:val="00571FF3"/>
    <w:rsid w:val="00593AEE"/>
    <w:rsid w:val="00594743"/>
    <w:rsid w:val="005A4AB9"/>
    <w:rsid w:val="005B2640"/>
    <w:rsid w:val="005C48EA"/>
    <w:rsid w:val="005D64FC"/>
    <w:rsid w:val="005E73F7"/>
    <w:rsid w:val="005F0718"/>
    <w:rsid w:val="005F6CE3"/>
    <w:rsid w:val="00602EB6"/>
    <w:rsid w:val="00603CFC"/>
    <w:rsid w:val="00606EF4"/>
    <w:rsid w:val="00610604"/>
    <w:rsid w:val="00614533"/>
    <w:rsid w:val="00631774"/>
    <w:rsid w:val="006376BE"/>
    <w:rsid w:val="00641C2E"/>
    <w:rsid w:val="00641E1F"/>
    <w:rsid w:val="00643904"/>
    <w:rsid w:val="00644FEB"/>
    <w:rsid w:val="00652E43"/>
    <w:rsid w:val="006531E4"/>
    <w:rsid w:val="00664DF6"/>
    <w:rsid w:val="006919C7"/>
    <w:rsid w:val="006A3399"/>
    <w:rsid w:val="006A6B9C"/>
    <w:rsid w:val="006A743F"/>
    <w:rsid w:val="006C198A"/>
    <w:rsid w:val="006C3A07"/>
    <w:rsid w:val="006C6840"/>
    <w:rsid w:val="006D00F7"/>
    <w:rsid w:val="006D376B"/>
    <w:rsid w:val="006E7DBE"/>
    <w:rsid w:val="00707AAE"/>
    <w:rsid w:val="007204D6"/>
    <w:rsid w:val="00726265"/>
    <w:rsid w:val="00734EBD"/>
    <w:rsid w:val="00752D31"/>
    <w:rsid w:val="00782E97"/>
    <w:rsid w:val="00783908"/>
    <w:rsid w:val="0079425B"/>
    <w:rsid w:val="007A0711"/>
    <w:rsid w:val="007A08BC"/>
    <w:rsid w:val="007B2A92"/>
    <w:rsid w:val="007B2B10"/>
    <w:rsid w:val="007B2C97"/>
    <w:rsid w:val="007B2E62"/>
    <w:rsid w:val="007B6549"/>
    <w:rsid w:val="007C4EE8"/>
    <w:rsid w:val="007D20DF"/>
    <w:rsid w:val="007E069B"/>
    <w:rsid w:val="007E0B9E"/>
    <w:rsid w:val="007F059A"/>
    <w:rsid w:val="00800388"/>
    <w:rsid w:val="008017C8"/>
    <w:rsid w:val="00813666"/>
    <w:rsid w:val="0082094C"/>
    <w:rsid w:val="008236E4"/>
    <w:rsid w:val="00850296"/>
    <w:rsid w:val="0085438E"/>
    <w:rsid w:val="00860A01"/>
    <w:rsid w:val="00865E4B"/>
    <w:rsid w:val="00876EAF"/>
    <w:rsid w:val="008A4493"/>
    <w:rsid w:val="008B02DA"/>
    <w:rsid w:val="008B10F5"/>
    <w:rsid w:val="008B6509"/>
    <w:rsid w:val="008D3AD6"/>
    <w:rsid w:val="008E41BB"/>
    <w:rsid w:val="008E51DB"/>
    <w:rsid w:val="008E57B1"/>
    <w:rsid w:val="0091383D"/>
    <w:rsid w:val="009159AA"/>
    <w:rsid w:val="00931187"/>
    <w:rsid w:val="00940559"/>
    <w:rsid w:val="00947B31"/>
    <w:rsid w:val="00961327"/>
    <w:rsid w:val="009662AB"/>
    <w:rsid w:val="00986BB1"/>
    <w:rsid w:val="00995B64"/>
    <w:rsid w:val="00996062"/>
    <w:rsid w:val="009B1E68"/>
    <w:rsid w:val="009C1D5A"/>
    <w:rsid w:val="009C21DC"/>
    <w:rsid w:val="009D1D7F"/>
    <w:rsid w:val="00A26A63"/>
    <w:rsid w:val="00A2770A"/>
    <w:rsid w:val="00A423F6"/>
    <w:rsid w:val="00A451E8"/>
    <w:rsid w:val="00A51ACB"/>
    <w:rsid w:val="00A53EA1"/>
    <w:rsid w:val="00A579A5"/>
    <w:rsid w:val="00A6018C"/>
    <w:rsid w:val="00A7317E"/>
    <w:rsid w:val="00A96023"/>
    <w:rsid w:val="00AA4490"/>
    <w:rsid w:val="00AA6EE0"/>
    <w:rsid w:val="00AB24AA"/>
    <w:rsid w:val="00AB6F66"/>
    <w:rsid w:val="00AC57CF"/>
    <w:rsid w:val="00AD1C1E"/>
    <w:rsid w:val="00AD2218"/>
    <w:rsid w:val="00AE3616"/>
    <w:rsid w:val="00AE6327"/>
    <w:rsid w:val="00AF7CB0"/>
    <w:rsid w:val="00B06AAF"/>
    <w:rsid w:val="00B0763D"/>
    <w:rsid w:val="00B10EC7"/>
    <w:rsid w:val="00B142E1"/>
    <w:rsid w:val="00B17911"/>
    <w:rsid w:val="00B22B90"/>
    <w:rsid w:val="00B2380F"/>
    <w:rsid w:val="00B41A44"/>
    <w:rsid w:val="00B4385F"/>
    <w:rsid w:val="00B46626"/>
    <w:rsid w:val="00B535A7"/>
    <w:rsid w:val="00B65B59"/>
    <w:rsid w:val="00B7292B"/>
    <w:rsid w:val="00B90AB3"/>
    <w:rsid w:val="00B949CA"/>
    <w:rsid w:val="00BA7DDF"/>
    <w:rsid w:val="00BB5FFB"/>
    <w:rsid w:val="00BC65B5"/>
    <w:rsid w:val="00BC764C"/>
    <w:rsid w:val="00BD1457"/>
    <w:rsid w:val="00BE1C65"/>
    <w:rsid w:val="00BF3DA0"/>
    <w:rsid w:val="00BF4B17"/>
    <w:rsid w:val="00BF6CAC"/>
    <w:rsid w:val="00C07117"/>
    <w:rsid w:val="00C21554"/>
    <w:rsid w:val="00C3512C"/>
    <w:rsid w:val="00C4459C"/>
    <w:rsid w:val="00C74380"/>
    <w:rsid w:val="00C746AB"/>
    <w:rsid w:val="00C806BE"/>
    <w:rsid w:val="00C81190"/>
    <w:rsid w:val="00C83C4A"/>
    <w:rsid w:val="00C90854"/>
    <w:rsid w:val="00C92DD8"/>
    <w:rsid w:val="00CA324A"/>
    <w:rsid w:val="00CB02F9"/>
    <w:rsid w:val="00CB293D"/>
    <w:rsid w:val="00CB50D4"/>
    <w:rsid w:val="00CC5B4E"/>
    <w:rsid w:val="00CC5BAA"/>
    <w:rsid w:val="00CD2B0D"/>
    <w:rsid w:val="00CD414B"/>
    <w:rsid w:val="00CF0B7E"/>
    <w:rsid w:val="00CF138C"/>
    <w:rsid w:val="00CF335F"/>
    <w:rsid w:val="00CF4404"/>
    <w:rsid w:val="00D01028"/>
    <w:rsid w:val="00D10205"/>
    <w:rsid w:val="00D10D1F"/>
    <w:rsid w:val="00D168B2"/>
    <w:rsid w:val="00D207AE"/>
    <w:rsid w:val="00D275CC"/>
    <w:rsid w:val="00D31141"/>
    <w:rsid w:val="00D312BE"/>
    <w:rsid w:val="00D602F1"/>
    <w:rsid w:val="00D7123F"/>
    <w:rsid w:val="00D767C4"/>
    <w:rsid w:val="00D77CF5"/>
    <w:rsid w:val="00D87B63"/>
    <w:rsid w:val="00DB1FC4"/>
    <w:rsid w:val="00DC0689"/>
    <w:rsid w:val="00DC1586"/>
    <w:rsid w:val="00E176D8"/>
    <w:rsid w:val="00E33B68"/>
    <w:rsid w:val="00E355CC"/>
    <w:rsid w:val="00E402BB"/>
    <w:rsid w:val="00E51A3F"/>
    <w:rsid w:val="00E56C1E"/>
    <w:rsid w:val="00E65EEB"/>
    <w:rsid w:val="00E73ABB"/>
    <w:rsid w:val="00E80CCA"/>
    <w:rsid w:val="00E8781F"/>
    <w:rsid w:val="00E93831"/>
    <w:rsid w:val="00E94F6B"/>
    <w:rsid w:val="00E962C5"/>
    <w:rsid w:val="00EA0331"/>
    <w:rsid w:val="00EA3488"/>
    <w:rsid w:val="00EA3EC8"/>
    <w:rsid w:val="00EA5C2C"/>
    <w:rsid w:val="00EB4DD8"/>
    <w:rsid w:val="00EB5F7D"/>
    <w:rsid w:val="00EC2764"/>
    <w:rsid w:val="00EC52B4"/>
    <w:rsid w:val="00EC589F"/>
    <w:rsid w:val="00EC5E34"/>
    <w:rsid w:val="00ED5A0F"/>
    <w:rsid w:val="00EE36B0"/>
    <w:rsid w:val="00EE5A9C"/>
    <w:rsid w:val="00EF20E6"/>
    <w:rsid w:val="00F07E09"/>
    <w:rsid w:val="00F07FED"/>
    <w:rsid w:val="00F149CD"/>
    <w:rsid w:val="00F26BE6"/>
    <w:rsid w:val="00F3441E"/>
    <w:rsid w:val="00F53C2E"/>
    <w:rsid w:val="00F579B5"/>
    <w:rsid w:val="00F63856"/>
    <w:rsid w:val="00F64C78"/>
    <w:rsid w:val="00F7460F"/>
    <w:rsid w:val="00F816D4"/>
    <w:rsid w:val="00F91C80"/>
    <w:rsid w:val="00F923D4"/>
    <w:rsid w:val="00F93A40"/>
    <w:rsid w:val="00F97D64"/>
    <w:rsid w:val="00FA2529"/>
    <w:rsid w:val="00FA6B76"/>
    <w:rsid w:val="00FB6408"/>
    <w:rsid w:val="00FC2C3E"/>
    <w:rsid w:val="00FC46C4"/>
    <w:rsid w:val="00FD085A"/>
    <w:rsid w:val="00FD2F5E"/>
    <w:rsid w:val="00FD3526"/>
    <w:rsid w:val="00FD376E"/>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C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553F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53FC9"/>
    <w:pPr>
      <w:pBdr>
        <w:top w:val="none" w:sz="0" w:space="0" w:color="auto"/>
      </w:pBdr>
      <w:spacing w:before="180"/>
      <w:outlineLvl w:val="1"/>
    </w:pPr>
    <w:rPr>
      <w:sz w:val="32"/>
    </w:rPr>
  </w:style>
  <w:style w:type="paragraph" w:styleId="Heading3">
    <w:name w:val="heading 3"/>
    <w:basedOn w:val="Heading2"/>
    <w:next w:val="Normal"/>
    <w:qFormat/>
    <w:rsid w:val="00553FC9"/>
    <w:pPr>
      <w:spacing w:before="120"/>
      <w:outlineLvl w:val="2"/>
    </w:pPr>
    <w:rPr>
      <w:sz w:val="28"/>
    </w:rPr>
  </w:style>
  <w:style w:type="paragraph" w:styleId="Heading4">
    <w:name w:val="heading 4"/>
    <w:basedOn w:val="Heading3"/>
    <w:next w:val="Normal"/>
    <w:qFormat/>
    <w:rsid w:val="00553FC9"/>
    <w:pPr>
      <w:ind w:left="1418" w:hanging="1418"/>
      <w:outlineLvl w:val="3"/>
    </w:pPr>
    <w:rPr>
      <w:sz w:val="24"/>
    </w:rPr>
  </w:style>
  <w:style w:type="paragraph" w:styleId="Heading5">
    <w:name w:val="heading 5"/>
    <w:basedOn w:val="Heading4"/>
    <w:next w:val="Normal"/>
    <w:qFormat/>
    <w:rsid w:val="00553FC9"/>
    <w:pPr>
      <w:ind w:left="1701" w:hanging="1701"/>
      <w:outlineLvl w:val="4"/>
    </w:pPr>
    <w:rPr>
      <w:sz w:val="22"/>
    </w:rPr>
  </w:style>
  <w:style w:type="paragraph" w:styleId="Heading6">
    <w:name w:val="heading 6"/>
    <w:basedOn w:val="H6"/>
    <w:next w:val="Normal"/>
    <w:qFormat/>
    <w:rsid w:val="00553FC9"/>
    <w:pPr>
      <w:outlineLvl w:val="5"/>
    </w:pPr>
  </w:style>
  <w:style w:type="paragraph" w:styleId="Heading7">
    <w:name w:val="heading 7"/>
    <w:basedOn w:val="H6"/>
    <w:next w:val="Normal"/>
    <w:qFormat/>
    <w:rsid w:val="00553FC9"/>
    <w:pPr>
      <w:outlineLvl w:val="6"/>
    </w:pPr>
  </w:style>
  <w:style w:type="paragraph" w:styleId="Heading8">
    <w:name w:val="heading 8"/>
    <w:basedOn w:val="Heading1"/>
    <w:next w:val="Normal"/>
    <w:qFormat/>
    <w:rsid w:val="00553FC9"/>
    <w:pPr>
      <w:ind w:left="0" w:firstLine="0"/>
      <w:outlineLvl w:val="7"/>
    </w:pPr>
  </w:style>
  <w:style w:type="paragraph" w:styleId="Heading9">
    <w:name w:val="heading 9"/>
    <w:basedOn w:val="Heading8"/>
    <w:next w:val="Normal"/>
    <w:qFormat/>
    <w:rsid w:val="00553F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53FC9"/>
    <w:pPr>
      <w:spacing w:before="180"/>
      <w:ind w:left="2693" w:hanging="2693"/>
    </w:pPr>
    <w:rPr>
      <w:b/>
    </w:rPr>
  </w:style>
  <w:style w:type="paragraph" w:styleId="TOC1">
    <w:name w:val="toc 1"/>
    <w:semiHidden/>
    <w:rsid w:val="00553F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53F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53FC9"/>
    <w:pPr>
      <w:ind w:left="1701" w:hanging="1701"/>
    </w:pPr>
  </w:style>
  <w:style w:type="paragraph" w:styleId="TOC4">
    <w:name w:val="toc 4"/>
    <w:basedOn w:val="TOC3"/>
    <w:semiHidden/>
    <w:rsid w:val="00553FC9"/>
    <w:pPr>
      <w:ind w:left="1418" w:hanging="1418"/>
    </w:pPr>
  </w:style>
  <w:style w:type="paragraph" w:styleId="TOC3">
    <w:name w:val="toc 3"/>
    <w:basedOn w:val="TOC2"/>
    <w:semiHidden/>
    <w:rsid w:val="00553FC9"/>
    <w:pPr>
      <w:ind w:left="1134" w:hanging="1134"/>
    </w:pPr>
  </w:style>
  <w:style w:type="paragraph" w:styleId="TOC2">
    <w:name w:val="toc 2"/>
    <w:basedOn w:val="TOC1"/>
    <w:semiHidden/>
    <w:rsid w:val="00553FC9"/>
    <w:pPr>
      <w:keepNext w:val="0"/>
      <w:spacing w:before="0"/>
      <w:ind w:left="851" w:hanging="851"/>
    </w:pPr>
    <w:rPr>
      <w:sz w:val="20"/>
    </w:rPr>
  </w:style>
  <w:style w:type="paragraph" w:styleId="Index2">
    <w:name w:val="index 2"/>
    <w:basedOn w:val="Index1"/>
    <w:semiHidden/>
    <w:rsid w:val="00553FC9"/>
    <w:pPr>
      <w:ind w:left="284"/>
    </w:pPr>
  </w:style>
  <w:style w:type="paragraph" w:styleId="Index1">
    <w:name w:val="index 1"/>
    <w:basedOn w:val="Normal"/>
    <w:semiHidden/>
    <w:rsid w:val="00553FC9"/>
    <w:pPr>
      <w:keepLines/>
      <w:spacing w:after="0"/>
    </w:pPr>
  </w:style>
  <w:style w:type="paragraph" w:customStyle="1" w:styleId="ZH">
    <w:name w:val="ZH"/>
    <w:rsid w:val="00553FC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53FC9"/>
    <w:pPr>
      <w:outlineLvl w:val="9"/>
    </w:pPr>
  </w:style>
  <w:style w:type="paragraph" w:styleId="ListNumber2">
    <w:name w:val="List Number 2"/>
    <w:basedOn w:val="ListNumber"/>
    <w:semiHidden/>
    <w:rsid w:val="00553FC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53FC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53FC9"/>
    <w:rPr>
      <w:b/>
      <w:position w:val="6"/>
      <w:sz w:val="16"/>
    </w:rPr>
  </w:style>
  <w:style w:type="paragraph" w:styleId="FootnoteText">
    <w:name w:val="footnote text"/>
    <w:basedOn w:val="Normal"/>
    <w:semiHidden/>
    <w:rsid w:val="00553FC9"/>
    <w:pPr>
      <w:keepLines/>
      <w:spacing w:after="0"/>
      <w:ind w:left="454" w:hanging="454"/>
    </w:pPr>
    <w:rPr>
      <w:sz w:val="16"/>
    </w:rPr>
  </w:style>
  <w:style w:type="paragraph" w:customStyle="1" w:styleId="TAH">
    <w:name w:val="TAH"/>
    <w:basedOn w:val="TAC"/>
    <w:link w:val="TAHCar"/>
    <w:rsid w:val="00553FC9"/>
    <w:rPr>
      <w:b/>
    </w:rPr>
  </w:style>
  <w:style w:type="paragraph" w:customStyle="1" w:styleId="TAC">
    <w:name w:val="TAC"/>
    <w:basedOn w:val="TAL"/>
    <w:link w:val="TACChar"/>
    <w:rsid w:val="00553FC9"/>
    <w:pPr>
      <w:jc w:val="center"/>
    </w:pPr>
  </w:style>
  <w:style w:type="paragraph" w:customStyle="1" w:styleId="TF">
    <w:name w:val="TF"/>
    <w:basedOn w:val="TH"/>
    <w:rsid w:val="00553FC9"/>
    <w:pPr>
      <w:keepNext w:val="0"/>
      <w:spacing w:before="0" w:after="240"/>
    </w:pPr>
  </w:style>
  <w:style w:type="paragraph" w:customStyle="1" w:styleId="NO">
    <w:name w:val="NO"/>
    <w:basedOn w:val="Normal"/>
    <w:rsid w:val="00553FC9"/>
    <w:pPr>
      <w:keepLines/>
      <w:ind w:left="1135" w:hanging="851"/>
    </w:pPr>
  </w:style>
  <w:style w:type="paragraph" w:styleId="TOC9">
    <w:name w:val="toc 9"/>
    <w:basedOn w:val="TOC8"/>
    <w:semiHidden/>
    <w:rsid w:val="00553FC9"/>
    <w:pPr>
      <w:ind w:left="1418" w:hanging="1418"/>
    </w:pPr>
  </w:style>
  <w:style w:type="paragraph" w:customStyle="1" w:styleId="EX">
    <w:name w:val="EX"/>
    <w:basedOn w:val="Normal"/>
    <w:rsid w:val="00553FC9"/>
    <w:pPr>
      <w:keepLines/>
      <w:ind w:left="1702" w:hanging="1418"/>
    </w:pPr>
  </w:style>
  <w:style w:type="paragraph" w:customStyle="1" w:styleId="FP">
    <w:name w:val="FP"/>
    <w:basedOn w:val="Normal"/>
    <w:rsid w:val="00553FC9"/>
    <w:pPr>
      <w:spacing w:after="0"/>
    </w:pPr>
  </w:style>
  <w:style w:type="paragraph" w:customStyle="1" w:styleId="LD">
    <w:name w:val="LD"/>
    <w:rsid w:val="00553FC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53FC9"/>
    <w:pPr>
      <w:spacing w:after="0"/>
    </w:pPr>
  </w:style>
  <w:style w:type="paragraph" w:customStyle="1" w:styleId="EW">
    <w:name w:val="EW"/>
    <w:basedOn w:val="EX"/>
    <w:rsid w:val="00553FC9"/>
    <w:pPr>
      <w:spacing w:after="0"/>
    </w:pPr>
  </w:style>
  <w:style w:type="paragraph" w:styleId="TOC6">
    <w:name w:val="toc 6"/>
    <w:basedOn w:val="TOC5"/>
    <w:next w:val="Normal"/>
    <w:semiHidden/>
    <w:rsid w:val="00553FC9"/>
    <w:pPr>
      <w:ind w:left="1985" w:hanging="1985"/>
    </w:pPr>
  </w:style>
  <w:style w:type="paragraph" w:styleId="TOC7">
    <w:name w:val="toc 7"/>
    <w:basedOn w:val="TOC6"/>
    <w:next w:val="Normal"/>
    <w:semiHidden/>
    <w:rsid w:val="00553FC9"/>
    <w:pPr>
      <w:ind w:left="2268" w:hanging="2268"/>
    </w:pPr>
  </w:style>
  <w:style w:type="paragraph" w:styleId="ListBullet2">
    <w:name w:val="List Bullet 2"/>
    <w:basedOn w:val="ListBullet"/>
    <w:semiHidden/>
    <w:rsid w:val="00553FC9"/>
    <w:pPr>
      <w:ind w:left="851"/>
    </w:pPr>
  </w:style>
  <w:style w:type="paragraph" w:styleId="ListBullet3">
    <w:name w:val="List Bullet 3"/>
    <w:basedOn w:val="ListBullet2"/>
    <w:semiHidden/>
    <w:rsid w:val="00553FC9"/>
    <w:pPr>
      <w:ind w:left="1135"/>
    </w:pPr>
  </w:style>
  <w:style w:type="paragraph" w:styleId="ListNumber">
    <w:name w:val="List Number"/>
    <w:basedOn w:val="List"/>
    <w:semiHidden/>
    <w:rsid w:val="00553FC9"/>
  </w:style>
  <w:style w:type="paragraph" w:customStyle="1" w:styleId="EQ">
    <w:name w:val="EQ"/>
    <w:basedOn w:val="Normal"/>
    <w:next w:val="Normal"/>
    <w:link w:val="EQChar"/>
    <w:rsid w:val="00553FC9"/>
    <w:pPr>
      <w:keepLines/>
      <w:tabs>
        <w:tab w:val="center" w:pos="4536"/>
        <w:tab w:val="right" w:pos="9072"/>
      </w:tabs>
    </w:pPr>
    <w:rPr>
      <w:noProof/>
    </w:rPr>
  </w:style>
  <w:style w:type="paragraph" w:customStyle="1" w:styleId="TH">
    <w:name w:val="TH"/>
    <w:basedOn w:val="Normal"/>
    <w:link w:val="THChar"/>
    <w:rsid w:val="00553FC9"/>
    <w:pPr>
      <w:keepNext/>
      <w:keepLines/>
      <w:spacing w:before="60"/>
      <w:jc w:val="center"/>
    </w:pPr>
    <w:rPr>
      <w:rFonts w:ascii="Arial" w:hAnsi="Arial"/>
      <w:b/>
    </w:rPr>
  </w:style>
  <w:style w:type="paragraph" w:customStyle="1" w:styleId="NF">
    <w:name w:val="NF"/>
    <w:basedOn w:val="NO"/>
    <w:rsid w:val="00553FC9"/>
    <w:pPr>
      <w:keepNext/>
      <w:spacing w:after="0"/>
    </w:pPr>
    <w:rPr>
      <w:rFonts w:ascii="Arial" w:hAnsi="Arial"/>
      <w:sz w:val="18"/>
    </w:rPr>
  </w:style>
  <w:style w:type="paragraph" w:customStyle="1" w:styleId="PL">
    <w:name w:val="PL"/>
    <w:rsid w:val="00553F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53FC9"/>
    <w:pPr>
      <w:jc w:val="right"/>
    </w:pPr>
  </w:style>
  <w:style w:type="paragraph" w:customStyle="1" w:styleId="H6">
    <w:name w:val="H6"/>
    <w:basedOn w:val="Heading5"/>
    <w:next w:val="Normal"/>
    <w:rsid w:val="00553FC9"/>
    <w:pPr>
      <w:ind w:left="1985" w:hanging="1985"/>
      <w:outlineLvl w:val="9"/>
    </w:pPr>
    <w:rPr>
      <w:sz w:val="20"/>
    </w:rPr>
  </w:style>
  <w:style w:type="paragraph" w:customStyle="1" w:styleId="TAN">
    <w:name w:val="TAN"/>
    <w:basedOn w:val="TAL"/>
    <w:link w:val="TANChar"/>
    <w:rsid w:val="00553FC9"/>
    <w:pPr>
      <w:ind w:left="851" w:hanging="851"/>
    </w:pPr>
  </w:style>
  <w:style w:type="paragraph" w:customStyle="1" w:styleId="TAL">
    <w:name w:val="TAL"/>
    <w:basedOn w:val="Normal"/>
    <w:rsid w:val="00553FC9"/>
    <w:pPr>
      <w:keepNext/>
      <w:keepLines/>
      <w:spacing w:after="0"/>
    </w:pPr>
    <w:rPr>
      <w:rFonts w:ascii="Arial" w:hAnsi="Arial"/>
      <w:sz w:val="18"/>
    </w:rPr>
  </w:style>
  <w:style w:type="paragraph" w:customStyle="1" w:styleId="ZA">
    <w:name w:val="ZA"/>
    <w:rsid w:val="00553F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53F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53FC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53F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53FC9"/>
    <w:pPr>
      <w:framePr w:wrap="notBeside" w:y="16161"/>
    </w:pPr>
  </w:style>
  <w:style w:type="character" w:customStyle="1" w:styleId="ZGSM">
    <w:name w:val="ZGSM"/>
    <w:rsid w:val="00553FC9"/>
  </w:style>
  <w:style w:type="paragraph" w:styleId="List2">
    <w:name w:val="List 2"/>
    <w:basedOn w:val="List"/>
    <w:semiHidden/>
    <w:rsid w:val="00553FC9"/>
    <w:pPr>
      <w:ind w:left="851"/>
    </w:pPr>
  </w:style>
  <w:style w:type="paragraph" w:customStyle="1" w:styleId="ZG">
    <w:name w:val="ZG"/>
    <w:rsid w:val="00553F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553FC9"/>
    <w:pPr>
      <w:ind w:left="1135"/>
    </w:pPr>
  </w:style>
  <w:style w:type="paragraph" w:styleId="List4">
    <w:name w:val="List 4"/>
    <w:basedOn w:val="List3"/>
    <w:semiHidden/>
    <w:rsid w:val="00553FC9"/>
    <w:pPr>
      <w:ind w:left="1418"/>
    </w:pPr>
  </w:style>
  <w:style w:type="paragraph" w:styleId="List5">
    <w:name w:val="List 5"/>
    <w:basedOn w:val="List4"/>
    <w:semiHidden/>
    <w:rsid w:val="00553FC9"/>
    <w:pPr>
      <w:ind w:left="1702"/>
    </w:pPr>
  </w:style>
  <w:style w:type="paragraph" w:customStyle="1" w:styleId="EditorsNote">
    <w:name w:val="Editor's Note"/>
    <w:basedOn w:val="NO"/>
    <w:rsid w:val="00553FC9"/>
    <w:rPr>
      <w:color w:val="FF0000"/>
    </w:rPr>
  </w:style>
  <w:style w:type="paragraph" w:styleId="List">
    <w:name w:val="List"/>
    <w:basedOn w:val="Normal"/>
    <w:semiHidden/>
    <w:rsid w:val="00553FC9"/>
    <w:pPr>
      <w:ind w:left="568" w:hanging="284"/>
    </w:pPr>
  </w:style>
  <w:style w:type="paragraph" w:styleId="ListBullet">
    <w:name w:val="List Bullet"/>
    <w:basedOn w:val="List"/>
    <w:semiHidden/>
    <w:rsid w:val="00553FC9"/>
  </w:style>
  <w:style w:type="paragraph" w:styleId="ListBullet4">
    <w:name w:val="List Bullet 4"/>
    <w:basedOn w:val="ListBullet3"/>
    <w:semiHidden/>
    <w:rsid w:val="00553FC9"/>
    <w:pPr>
      <w:ind w:left="1418"/>
    </w:pPr>
  </w:style>
  <w:style w:type="paragraph" w:styleId="ListBullet5">
    <w:name w:val="List Bullet 5"/>
    <w:basedOn w:val="ListBullet4"/>
    <w:semiHidden/>
    <w:rsid w:val="00553FC9"/>
    <w:pPr>
      <w:ind w:left="1702"/>
    </w:pPr>
  </w:style>
  <w:style w:type="paragraph" w:customStyle="1" w:styleId="B1">
    <w:name w:val="B1"/>
    <w:basedOn w:val="List"/>
    <w:rsid w:val="00553FC9"/>
  </w:style>
  <w:style w:type="paragraph" w:customStyle="1" w:styleId="B2">
    <w:name w:val="B2"/>
    <w:basedOn w:val="List2"/>
    <w:rsid w:val="00553FC9"/>
  </w:style>
  <w:style w:type="paragraph" w:customStyle="1" w:styleId="B3">
    <w:name w:val="B3"/>
    <w:basedOn w:val="List3"/>
    <w:rsid w:val="00553FC9"/>
  </w:style>
  <w:style w:type="paragraph" w:customStyle="1" w:styleId="B4">
    <w:name w:val="B4"/>
    <w:basedOn w:val="List4"/>
    <w:rsid w:val="00553FC9"/>
  </w:style>
  <w:style w:type="paragraph" w:customStyle="1" w:styleId="B5">
    <w:name w:val="B5"/>
    <w:basedOn w:val="List5"/>
    <w:rsid w:val="00553FC9"/>
  </w:style>
  <w:style w:type="paragraph" w:styleId="Footer">
    <w:name w:val="footer"/>
    <w:basedOn w:val="Header"/>
    <w:semiHidden/>
    <w:rsid w:val="00553FC9"/>
    <w:pPr>
      <w:jc w:val="center"/>
    </w:pPr>
    <w:rPr>
      <w:i/>
    </w:rPr>
  </w:style>
  <w:style w:type="paragraph" w:customStyle="1" w:styleId="ZTD">
    <w:name w:val="ZTD"/>
    <w:basedOn w:val="ZB"/>
    <w:rsid w:val="00553FC9"/>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rsid w:val="00DC1586"/>
    <w:rPr>
      <w:rFonts w:ascii="Arial" w:hAnsi="Arial"/>
      <w:b/>
      <w:lang w:val="en-GB" w:eastAsia="en-US"/>
    </w:rPr>
  </w:style>
  <w:style w:type="character" w:customStyle="1" w:styleId="TANChar">
    <w:name w:val="TAN Char"/>
    <w:link w:val="TAN"/>
    <w:rsid w:val="00DC1586"/>
    <w:rPr>
      <w:rFonts w:ascii="Arial" w:hAnsi="Arial"/>
      <w:sz w:val="18"/>
      <w:lang w:val="en-GB" w:eastAsia="en-US"/>
    </w:rPr>
  </w:style>
  <w:style w:type="character" w:customStyle="1" w:styleId="EQChar">
    <w:name w:val="EQ Char"/>
    <w:link w:val="EQ"/>
    <w:rsid w:val="0053247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28879526">
      <w:bodyDiv w:val="1"/>
      <w:marLeft w:val="0"/>
      <w:marRight w:val="0"/>
      <w:marTop w:val="0"/>
      <w:marBottom w:val="0"/>
      <w:divBdr>
        <w:top w:val="none" w:sz="0" w:space="0" w:color="auto"/>
        <w:left w:val="none" w:sz="0" w:space="0" w:color="auto"/>
        <w:bottom w:val="none" w:sz="0" w:space="0" w:color="auto"/>
        <w:right w:val="none" w:sz="0" w:space="0" w:color="auto"/>
      </w:divBdr>
    </w:div>
    <w:div w:id="541331405">
      <w:bodyDiv w:val="1"/>
      <w:marLeft w:val="0"/>
      <w:marRight w:val="0"/>
      <w:marTop w:val="0"/>
      <w:marBottom w:val="0"/>
      <w:divBdr>
        <w:top w:val="none" w:sz="0" w:space="0" w:color="auto"/>
        <w:left w:val="none" w:sz="0" w:space="0" w:color="auto"/>
        <w:bottom w:val="none" w:sz="0" w:space="0" w:color="auto"/>
        <w:right w:val="none" w:sz="0" w:space="0" w:color="auto"/>
      </w:divBdr>
    </w:div>
    <w:div w:id="612857317">
      <w:bodyDiv w:val="1"/>
      <w:marLeft w:val="0"/>
      <w:marRight w:val="0"/>
      <w:marTop w:val="0"/>
      <w:marBottom w:val="0"/>
      <w:divBdr>
        <w:top w:val="none" w:sz="0" w:space="0" w:color="auto"/>
        <w:left w:val="none" w:sz="0" w:space="0" w:color="auto"/>
        <w:bottom w:val="none" w:sz="0" w:space="0" w:color="auto"/>
        <w:right w:val="none" w:sz="0" w:space="0" w:color="auto"/>
      </w:divBdr>
    </w:div>
    <w:div w:id="815102240">
      <w:bodyDiv w:val="1"/>
      <w:marLeft w:val="0"/>
      <w:marRight w:val="0"/>
      <w:marTop w:val="0"/>
      <w:marBottom w:val="0"/>
      <w:divBdr>
        <w:top w:val="none" w:sz="0" w:space="0" w:color="auto"/>
        <w:left w:val="none" w:sz="0" w:space="0" w:color="auto"/>
        <w:bottom w:val="none" w:sz="0" w:space="0" w:color="auto"/>
        <w:right w:val="none" w:sz="0" w:space="0" w:color="auto"/>
      </w:divBdr>
    </w:div>
    <w:div w:id="953823760">
      <w:bodyDiv w:val="1"/>
      <w:marLeft w:val="0"/>
      <w:marRight w:val="0"/>
      <w:marTop w:val="0"/>
      <w:marBottom w:val="0"/>
      <w:divBdr>
        <w:top w:val="none" w:sz="0" w:space="0" w:color="auto"/>
        <w:left w:val="none" w:sz="0" w:space="0" w:color="auto"/>
        <w:bottom w:val="none" w:sz="0" w:space="0" w:color="auto"/>
        <w:right w:val="none" w:sz="0" w:space="0" w:color="auto"/>
      </w:divBdr>
    </w:div>
    <w:div w:id="989092683">
      <w:bodyDiv w:val="1"/>
      <w:marLeft w:val="0"/>
      <w:marRight w:val="0"/>
      <w:marTop w:val="0"/>
      <w:marBottom w:val="0"/>
      <w:divBdr>
        <w:top w:val="none" w:sz="0" w:space="0" w:color="auto"/>
        <w:left w:val="none" w:sz="0" w:space="0" w:color="auto"/>
        <w:bottom w:val="none" w:sz="0" w:space="0" w:color="auto"/>
        <w:right w:val="none" w:sz="0" w:space="0" w:color="auto"/>
      </w:divBdr>
    </w:div>
    <w:div w:id="1190530716">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783110786">
      <w:bodyDiv w:val="1"/>
      <w:marLeft w:val="0"/>
      <w:marRight w:val="0"/>
      <w:marTop w:val="0"/>
      <w:marBottom w:val="0"/>
      <w:divBdr>
        <w:top w:val="none" w:sz="0" w:space="0" w:color="auto"/>
        <w:left w:val="none" w:sz="0" w:space="0" w:color="auto"/>
        <w:bottom w:val="none" w:sz="0" w:space="0" w:color="auto"/>
        <w:right w:val="none" w:sz="0" w:space="0" w:color="auto"/>
      </w:divBdr>
    </w:div>
    <w:div w:id="1860701434">
      <w:bodyDiv w:val="1"/>
      <w:marLeft w:val="0"/>
      <w:marRight w:val="0"/>
      <w:marTop w:val="0"/>
      <w:marBottom w:val="0"/>
      <w:divBdr>
        <w:top w:val="none" w:sz="0" w:space="0" w:color="auto"/>
        <w:left w:val="none" w:sz="0" w:space="0" w:color="auto"/>
        <w:bottom w:val="none" w:sz="0" w:space="0" w:color="auto"/>
        <w:right w:val="none" w:sz="0" w:space="0" w:color="auto"/>
      </w:divBdr>
    </w:div>
    <w:div w:id="186404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emf"/><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emf"/><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emf"/><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emf"/><Relationship Id="rId28"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emf"/><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3394</TotalTime>
  <Pages>9</Pages>
  <Words>1178</Words>
  <Characters>6721</Characters>
  <Application>Microsoft Office Word</Application>
  <DocSecurity>0</DocSecurity>
  <Lines>56</Lines>
  <Paragraphs>15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Qualcomm User</cp:lastModifiedBy>
  <cp:revision>42</cp:revision>
  <cp:lastPrinted>1900-01-01T08:00:00Z</cp:lastPrinted>
  <dcterms:created xsi:type="dcterms:W3CDTF">2020-10-12T21:57:00Z</dcterms:created>
  <dcterms:modified xsi:type="dcterms:W3CDTF">2020-10-23T23:30:00Z</dcterms:modified>
</cp:coreProperties>
</file>